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600"/>
      </w:pPr>
      <w:r>
        <w:rPr>
          <w:b/>
          <w:bCs/>
          <w:color w:val="8C6D31"/>
          <w:sz w:val="22"/>
          <w:szCs w:val="22"/>
        </w:rPr>
        <w:t>INŠTITUT ZA DEMOGRAFSKO PRIHODNOST SLOVENIJE</w:t>
      </w:r>
    </w:p>
    <w:p>
      <w:pPr>
        <w:spacing w:after="600"/>
      </w:pPr>
      <w:r>
        <w:rPr>
          <w:color w:val="595959"/>
          <w:sz w:val="18"/>
          <w:szCs w:val="18"/>
        </w:rPr>
        <w:t xml:space="preserve">NEO ARK 2035</w:t>
      </w:r>
    </w:p>
    <w:p>
      <w:pPr>
        <w:spacing w:after="120"/>
      </w:pPr>
      <w:r>
        <w:rPr>
          <w:b/>
          <w:bCs/>
          <w:color w:val="0F3D3E"/>
          <w:sz w:val="50"/>
          <w:szCs w:val="50"/>
        </w:rPr>
        <w:t xml:space="preserve">TRGI, KI ŠE NIMAJO PONUDNIKA</w:t>
      </w:r>
    </w:p>
    <w:p>
      <w:pPr>
        <w:spacing w:after="100"/>
      </w:pPr>
      <w:r>
        <w:rPr>
          <w:i/>
          <w:iCs/>
          <w:color w:val="146C74"/>
          <w:sz w:val="26"/>
          <w:szCs w:val="26"/>
        </w:rPr>
        <w:t xml:space="preserve">Ekonomske priložnosti demografske prihodnosti Slovenske Istre</w:t>
      </w:r>
    </w:p>
    <w:p>
      <w:pPr>
        <w:spacing w:after="100" w:before="200"/>
      </w:pPr>
      <w:r>
        <w:rPr>
          <w:i/>
          <w:iCs/>
          <w:color w:val="595959"/>
          <w:sz w:val="22"/>
          <w:szCs w:val="22"/>
        </w:rPr>
        <w:t xml:space="preserve">Pet ekonomij staranja in odpornosti: kdo je kupec, kdo bi lahko proizvajal in kaj je od tega realno</w:t>
      </w:r>
    </w:p>
    <w:p>
      <w:pPr>
        <w:spacing w:before="600"/>
      </w:pPr>
      <w:r>
        <w:rPr>
          <w:b/>
          <w:bCs/>
          <w:color w:val="8C6D31"/>
          <w:sz w:val="20"/>
          <w:szCs w:val="20"/>
        </w:rPr>
        <w:t xml:space="preserve">DOKUMENT 4 / 4 — EKONOMSKE PRILOŽNOSTI</w:t>
      </w:r>
    </w:p>
    <w:p>
      <w:pPr>
        <w:spacing w:after="40"/>
      </w:pPr>
      <w:r>
        <w:rPr>
          <w:sz w:val="20"/>
          <w:szCs w:val="20"/>
        </w:rPr>
        <w:t xml:space="preserve">Zaključni dokument zbirke Slovenska Istra 2050</w:t>
      </w:r>
    </w:p>
    <w:p>
      <w:pPr>
        <w:spacing w:before="400"/>
      </w:pPr>
      <w:r>
        <w:rPr>
          <w:color w:val="595959"/>
          <w:sz w:val="19"/>
          <w:szCs w:val="19"/>
        </w:rPr>
        <w:t xml:space="preserve">Območje: Mestna občina Koper, Občina Izola, Občina Piran, Občina Ankaran</w:t>
      </w:r>
    </w:p>
    <w:p>
      <w:pPr>
        <w:spacing w:after="40"/>
      </w:pPr>
      <w:r>
        <w:rPr>
          <w:color w:val="595959"/>
          <w:sz w:val="19"/>
          <w:szCs w:val="19"/>
        </w:rPr>
        <w:t>Stanje pregleda podatkov: 27. avgust 2026 · Pregledana različica 1.1</w:t>
      </w:r>
    </w:p>
    <w:p/>
    <w:p>
      <w:r>
        <w:t>Pripravil: Žiga Sedevčič · Neodvisni podatkovni in uredniški pregled: IDP</w:t>
      </w:r>
    </w:p>
    <w:p>
      <w:r>
        <w:br w:type="page"/>
      </w:r>
    </w:p>
    <w:p>
      <w:pPr>
        <w:pStyle w:val="Heading1"/>
        <w:pBdr>
          <w:bottom w:val="single" w:color="0F3D3E" w:sz="8" w:space="4"/>
        </w:pBdr>
        <w:spacing w:after="200" w:before="480"/>
      </w:pPr>
      <w:r>
        <w:rPr>
          <w:b/>
          <w:bCs/>
          <w:color w:val="0F3D3E"/>
          <w:sz w:val="30"/>
          <w:szCs w:val="30"/>
        </w:rPr>
        <w:t xml:space="preserve">Uvod: kaj ta dokument je in česa ne obljublja</w:t>
      </w:r>
    </w:p>
    <w:p>
      <w:pPr>
        <w:pBdr>
          <w:left w:val="single" w:color="8C6D31" w:sz="16" w:space="8"/>
        </w:pBdr>
        <w:spacing w:after="200" w:before="100"/>
        <w:ind w:left="400"/>
      </w:pPr>
      <w:r>
        <w:rPr>
          <w:i/>
          <w:iCs/>
          <w:color w:val="0F3D3E"/>
          <w:sz w:val="21"/>
          <w:szCs w:val="21"/>
        </w:rPr>
        <w:t xml:space="preserve">Staranje in podnebne spremembe ne ustvarjajo samo stroškov. Ustvarjajo tudi nove trge.</w:t>
      </w:r>
    </w:p>
    <w:p>
      <w:pPr>
        <w:spacing w:after="140" w:line="288"/>
      </w:pPr>
      <w:r>
        <w:rPr>
          <w:sz w:val="21"/>
          <w:szCs w:val="21"/>
        </w:rPr>
        <w:t xml:space="preserve">To je zaključni dokument zbirke. Dokument 1 je opisal demografsko stanje Slovenske Istre, Dokument 2 koledar odločitev pred lokalnimi volitvami 2026, Dokument 3 pa predlog za zmanjšanje kritičnih odvisnosti. Ta dokument obravnava drugo stran iste medalje: kje v teh spremembah nastaja povpraševanje, ki ga danes še nihče sistematično ne pokriva.</w:t>
      </w:r>
    </w:p>
    <w:p>
      <w:pPr>
        <w:pStyle w:val="Heading2"/>
        <w:spacing w:after="140" w:before="320"/>
      </w:pPr>
      <w:r>
        <w:rPr>
          <w:b/>
          <w:bCs/>
          <w:color w:val="146C74"/>
          <w:sz w:val="25"/>
          <w:szCs w:val="25"/>
        </w:rPr>
        <w:t xml:space="preserve">Pet ekonomij</w:t>
      </w:r>
    </w:p>
    <w:p>
      <w:pPr>
        <w:spacing w:after="140" w:line="288"/>
      </w:pPr>
      <w:r>
        <w:rPr>
          <w:sz w:val="21"/>
          <w:szCs w:val="21"/>
        </w:rPr>
        <w:t xml:space="preserve">Dokument obravnava pet med seboj povezanih področij: srebrno ekonomijo, ekonomijo dolgoživosti, ekonomijo odpornosti, ekonomijo oskrbe in ekonomijo avtomatizacije. Vsako presojamo z enakim naborom sedmih vprašanj, da so med seboj primerljiva.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single" w:color="8C6D31" w:sz="2"/>
              <w:left w:val="single" w:color="8C6D31" w:sz="12"/>
              <w:bottom w:val="single" w:color="8C6D31" w:sz="2"/>
              <w:right w:val="single" w:color="8C6D31" w:sz="2"/>
            </w:tcBorders>
            <w:shd w:fill="F7F3EA" w:val="clear"/>
            <w:tcMar>
              <w:top w:type="dxa" w:w="180"/>
              <w:left w:type="dxa" w:w="200"/>
              <w:bottom w:type="dxa" w:w="180"/>
              <w:right w:type="dxa" w:w="200"/>
            </w:tcMar>
          </w:tcPr>
          <w:p>
            <w:pPr>
              <w:spacing w:after="100"/>
            </w:pPr>
            <w:r>
              <w:rPr>
                <w:b/>
                <w:bCs/>
                <w:color w:val="0F3D3E"/>
                <w:sz w:val="22"/>
                <w:szCs w:val="22"/>
              </w:rPr>
              <w:t xml:space="preserve">Tri opozorila, ki veljajo za celoten dokument</w:t>
            </w:r>
          </w:p>
          <w:p>
            <w:pPr>
              <w:spacing w:after="80" w:line="280"/>
            </w:pPr>
            <w:r>
              <w:rPr>
                <w:sz w:val="20"/>
                <w:szCs w:val="20"/>
              </w:rPr>
              <w:t xml:space="preserve">1. Ocene velikosti trgov so ocene, ne meritve. Najpogosteje citirana številka o evropski srebrni ekonomiji je projekcija iz leta 2018 za leto 2025 — ne izmerjeno stanje. Kjer navajamo takšno oceno, to izrecno označimo.</w:t>
            </w:r>
          </w:p>
          <w:p>
            <w:pPr>
              <w:spacing w:after="80" w:line="280"/>
            </w:pPr>
            <w:r>
              <w:rPr>
                <w:sz w:val="20"/>
                <w:szCs w:val="20"/>
              </w:rPr>
              <w:t xml:space="preserve">2. Priložnost ni napoved. Da nekje nastaja povpraševanje, ne pomeni, da ga bo pokrila Slovenska Istra. Vprašanje 6 v vsaki presoji zato sprašuje po dejanski primerjalni prednosti, ne po želji.</w:t>
            </w:r>
          </w:p>
          <w:p>
            <w:pPr>
              <w:spacing w:after="80" w:line="280"/>
            </w:pPr>
            <w:r>
              <w:rPr>
                <w:sz w:val="20"/>
                <w:szCs w:val="20"/>
              </w:rPr>
              <w:t xml:space="preserve">3. Nova ekonomska priložnost ni sama po sebi demografsko koristna. Vsak predlog mora skozi demografski monokel — panoga, ki dvigne cene stanovanj in izrine mlade, demografsko škoduje, tudi če ustvarja prihodek.</w:t>
            </w:r>
          </w:p>
        </w:tc>
      </w:tr>
    </w:tbl>
    <w:p>
      <w:pPr>
        <w:spacing w:after="100"/>
      </w:pPr>
      <w:r>
        <w:rPr>
          <w:sz w:val="10"/>
          <w:szCs w:val="10"/>
        </w:rPr>
        <w:t xml:space="preserve"/>
      </w:r>
    </w:p>
    <w:p>
      <w:pPr>
        <w:pStyle w:val="Heading2"/>
        <w:spacing w:after="140" w:before="320"/>
      </w:pPr>
      <w:r>
        <w:rPr>
          <w:b/>
          <w:bCs/>
          <w:color w:val="146C74"/>
          <w:sz w:val="25"/>
          <w:szCs w:val="25"/>
        </w:rPr>
        <w:t xml:space="preserve">Raven podatkov</w:t>
      </w:r>
    </w:p>
    <w:p>
      <w:pPr>
        <w:spacing w:after="120" w:line="288"/>
      </w:pPr>
      <w:r>
        <w:rPr>
          <w:b/>
          <w:bCs/>
          <w:color w:val="1553A0"/>
          <w:sz w:val="21"/>
          <w:szCs w:val="21"/>
        </w:rPr>
        <w:t xml:space="preserve">[INTERPRETACIJA] </w:t>
      </w:r>
      <w:r>
        <w:rPr>
          <w:sz w:val="21"/>
          <w:szCs w:val="21"/>
        </w:rPr>
        <w:t xml:space="preserve">Kot v Dokumentu 3 velja tudi tu: večina podatkov o trgih, kapacitetah in kadru je nacionalnih ali evropskih, ne istrskih. Uporabljamo jih kot okvir za red velikosti in kot izhodišče za vprašanja, ne kot dokaz o stanju v Slovenski Istri. Kjer občinskega ali regijskega podatka ni, to povemo.</w:t>
      </w:r>
    </w:p>
    <w:p>
      <w:r>
        <w:br w:type="page"/>
      </w:r>
    </w:p>
    <w:p>
      <w:pPr>
        <w:pStyle w:val="Heading1"/>
        <w:pBdr>
          <w:bottom w:val="single" w:color="0F3D3E" w:sz="8" w:space="4"/>
        </w:pBdr>
        <w:spacing w:after="200" w:before="480"/>
      </w:pPr>
      <w:r>
        <w:rPr>
          <w:b/>
          <w:bCs/>
          <w:color w:val="0F3D3E"/>
          <w:sz w:val="30"/>
          <w:szCs w:val="30"/>
        </w:rPr>
        <w:t xml:space="preserve">1. Kaj se je pri staranju dejansko spremenilo</w:t>
      </w:r>
    </w:p>
    <w:p>
      <w:pPr>
        <w:spacing w:after="200" w:line="300"/>
      </w:pPr>
      <w:r>
        <w:rPr>
          <w:color w:val="0F3D3E"/>
          <w:sz w:val="23"/>
          <w:szCs w:val="23"/>
        </w:rPr>
        <w:t xml:space="preserve">Preden govorimo o trgih, je treba popraviti eno predpostavko. Starejši ljudje danes niso isto kot starejši ljudje pred dvema desetletjema.</w:t>
      </w:r>
    </w:p>
    <w:p>
      <w:pPr>
        <w:pStyle w:val="Heading2"/>
        <w:spacing w:after="140" w:before="320"/>
      </w:pPr>
      <w:r>
        <w:rPr>
          <w:b/>
          <w:bCs/>
          <w:color w:val="146C74"/>
          <w:sz w:val="25"/>
          <w:szCs w:val="25"/>
        </w:rPr>
        <w:t xml:space="preserve">1.1 Ugotovitev, ki spremeni izhodišče</w:t>
      </w:r>
    </w:p>
    <w:p>
      <w:pPr>
        <w:spacing w:after="120" w:line="288"/>
      </w:pPr>
      <w:r>
        <w:rPr>
          <w:b/>
          <w:bCs/>
          <w:color w:val="1B6E30"/>
          <w:sz w:val="21"/>
          <w:szCs w:val="21"/>
        </w:rPr>
        <w:t xml:space="preserve">[DEJSTVO] </w:t>
      </w:r>
      <w:r>
        <w:rPr>
          <w:sz w:val="21"/>
          <w:szCs w:val="21"/>
        </w:rPr>
        <w:t xml:space="preserve">Mednarodni denarni sklad je v poglavju o srebrni ekonomiji (World Economic Outlook, april 2025) ugotovil, da je imel človek, star 70 let v letu 2022, enake kognitivne sposobnosti kot 53-letnik v letu 2000. Podobno velja za telesno zmogljivost: indeks krhkosti starejše osebe leta 2022 je bil primerljiv s stanjem 56-letnika leta 2000.</w:t>
      </w:r>
    </w:p>
    <w:p>
      <w:pPr>
        <w:spacing w:after="220"/>
      </w:pPr>
      <w:r>
        <w:rPr>
          <w:i/>
          <w:iCs/>
          <w:color w:val="595959"/>
          <w:sz w:val="18"/>
          <w:szCs w:val="18"/>
        </w:rPr>
        <w:t xml:space="preserve">Vir: IMF, World Economic Outlook, april 2025, poglavje 2: The Rise of the Silver Economy</w:t>
      </w:r>
    </w:p>
    <w:p>
      <w:pPr>
        <w:spacing w:after="140" w:line="288"/>
      </w:pPr>
      <w:r>
        <w:rPr>
          <w:sz w:val="21"/>
          <w:szCs w:val="21"/>
        </w:rPr>
        <w:t xml:space="preserve">To ni obrobna podrobnost. Pomeni, da se je funkcionalna starost v dveh desetletjih premaknila za približno petnajst do sedemnajst let, medtem ko se koledarska starost seveda ni spremenila.</w:t>
      </w:r>
    </w:p>
    <w:p>
      <w:pPr>
        <w:pStyle w:val="Heading2"/>
        <w:spacing w:after="140" w:before="320"/>
      </w:pPr>
      <w:r>
        <w:rPr>
          <w:b/>
          <w:bCs/>
          <w:color w:val="146C74"/>
          <w:sz w:val="25"/>
          <w:szCs w:val="25"/>
        </w:rPr>
        <w:t xml:space="preserve">1.2 Zakaj to spremeni ekonomsko sliko</w:t>
      </w:r>
    </w:p>
    <w:p>
      <w:pPr>
        <w:spacing w:after="120" w:line="288"/>
      </w:pPr>
      <w:r>
        <w:rPr>
          <w:b/>
          <w:bCs/>
          <w:color w:val="1B6E30"/>
          <w:sz w:val="21"/>
          <w:szCs w:val="21"/>
        </w:rPr>
        <w:t xml:space="preserve">[DEJSTVO] </w:t>
      </w:r>
      <w:r>
        <w:rPr>
          <w:sz w:val="21"/>
          <w:szCs w:val="21"/>
        </w:rPr>
        <w:t xml:space="preserve">Ista analiza povezuje izboljšanje zdravja starejših s približno 30-odstotnim povečanjem dohodkov iz dela v desetletju, 20-odstotnim povečanjem verjetnosti, da oseba ostane na trgu dela, in približno šestimi dodatnimi delovnimi urami na teden.</w:t>
      </w:r>
    </w:p>
    <w:p>
      <w:pPr>
        <w:spacing w:after="140" w:line="288"/>
      </w:pPr>
      <w:r>
        <w:rPr>
          <w:sz w:val="21"/>
          <w:szCs w:val="21"/>
        </w:rPr>
        <w:t xml:space="preserve">Na globalni ravni MDS ocenjuje, da bi rast brez politik zdravega staranja med letoma 2025 in 2050 padla za približno 1,5 odstotne točke, medtem ko zdravo staranje samo prispeva približno 0,4 odstotne točke rasti letno. Kombinacija politik zdravega staranja, postopnega zviševanja efektivne upokojitvene starosti in zmanjšanja razlik med spoloma bi po tej oceni izravnala približno tri četrtine negativnih demografskih učinkov.</w:t>
      </w:r>
    </w:p>
    <w:p>
      <w:pPr>
        <w:spacing w:after="220"/>
      </w:pPr>
      <w:r>
        <w:rPr>
          <w:i/>
          <w:iCs/>
          <w:color w:val="595959"/>
          <w:sz w:val="18"/>
          <w:szCs w:val="18"/>
        </w:rPr>
        <w:t xml:space="preserve">Vir: IMF, WEO april 2025</w:t>
      </w:r>
    </w:p>
    <w:p>
      <w:pPr>
        <w:pStyle w:val="Heading2"/>
        <w:spacing w:after="140" w:before="320"/>
      </w:pPr>
      <w:r>
        <w:rPr>
          <w:b/>
          <w:bCs/>
          <w:color w:val="146C74"/>
          <w:sz w:val="25"/>
          <w:szCs w:val="25"/>
        </w:rPr>
        <w:t xml:space="preserve">1.3 Kaj iz tega NE sledi</w:t>
      </w:r>
    </w:p>
    <w:p>
      <w:pPr>
        <w:spacing w:after="120" w:line="288"/>
      </w:pPr>
      <w:r>
        <w:rPr>
          <w:b/>
          <w:bCs/>
          <w:color w:val="1553A0"/>
          <w:sz w:val="21"/>
          <w:szCs w:val="21"/>
        </w:rPr>
        <w:t xml:space="preserve">[INTERPRETACIJA] </w:t>
      </w:r>
      <w:r>
        <w:rPr>
          <w:sz w:val="21"/>
          <w:szCs w:val="21"/>
        </w:rPr>
        <w:t xml:space="preserve">Ta ugotovitev ni argument za preprosto podaljševanje delovne dobe vsem. Izboljšanje zdravja starejših ni enakomerno porazdeljeno — razlikuje se po izobrazbi, poklicu, dohodku in vrsti dela. Človek, ki je štirideset let delal fizično, nima enake funkcionalne rezerve kot nekdo s pisarniškim delom. V regiji z najvišjo stopnjo tveganja revščine v državi je to razlikovanje še posebej pomembno.</w:t>
      </w:r>
    </w:p>
    <w:p>
      <w:pPr>
        <w:spacing w:after="120" w:line="288"/>
      </w:pPr>
      <w:r>
        <w:rPr>
          <w:b/>
          <w:bCs/>
          <w:color w:val="7A2E8A"/>
          <w:sz w:val="21"/>
          <w:szCs w:val="21"/>
        </w:rPr>
        <w:t xml:space="preserve">[PREDLOG] </w:t>
      </w:r>
      <w:r>
        <w:rPr>
          <w:sz w:val="21"/>
          <w:szCs w:val="21"/>
        </w:rPr>
        <w:t xml:space="preserve">Za Slovensko Istro iz tega izhaja praktičen sklep: skupina 60–75 let ni homogena in je ne kaže obravnavati niti kot zgolj upokojence niti kot zgolj potrošnike. Del te skupine je še vedno aktivno prebivalstvo v smislu, opredeljenem v Dokumentu 1 — ljudje, ki delajo, ustvarjajo, skrbijo za druge ali vodijo podjetja. To je hkrati trg in ponudnik dela.</w:t>
      </w:r>
    </w:p>
    <w:p>
      <w:r>
        <w:br w:type="page"/>
      </w:r>
    </w:p>
    <w:p>
      <w:pPr>
        <w:pStyle w:val="Heading1"/>
        <w:pBdr>
          <w:bottom w:val="single" w:color="0F3D3E" w:sz="8" w:space="4"/>
        </w:pBdr>
        <w:spacing w:after="200" w:before="480"/>
      </w:pPr>
      <w:r>
        <w:rPr>
          <w:b/>
          <w:bCs/>
          <w:color w:val="0F3D3E"/>
          <w:sz w:val="30"/>
          <w:szCs w:val="30"/>
        </w:rPr>
        <w:t xml:space="preserve">2. Metoda presoje: sedem vprašanj</w:t>
      </w:r>
    </w:p>
    <w:p>
      <w:pPr>
        <w:spacing w:after="140" w:line="288"/>
      </w:pPr>
      <w:r>
        <w:rPr>
          <w:sz w:val="21"/>
          <w:szCs w:val="21"/>
        </w:rPr>
        <w:t xml:space="preserve">Vsako od petih področij presojamo z istim naborom sedmih vprašanj. Namen enotne strukture je primerljivost — da je mogoče področja med seboj razvrstiti, ne le opisati.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rPr>
          <w:tblHeader/>
        </w:trPr>
        <w:tc>
          <w:tcPr>
            <w:tcW w:type="dxa" w:w="26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Vprašanje</w:t>
            </w:r>
          </w:p>
        </w:tc>
        <w:tc>
          <w:tcPr>
            <w:tcW w:type="dxa" w:w="64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Kaj preverja</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1. Kakšen problem rešuje?</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Ali obstaja resnična potreba ali le domnevna priložnost</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2. Kdo je kupec?</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Kdo dejansko plača — posameznik, zavarovalnica, občina, država, tuji gost</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3. Kdo bi lahko storitev proizvajal?</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Ali ponudnik že obstaja ali ga je treba ustvariti</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4. Katera znanja potrebujemo?</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Ali so kadri na voljo, jih je treba izobraziti ali privabiti</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5. Koliko časa za razvoj?</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Ali je rezultat viden v enem mandatu ali čez desetletje</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6. Ali ima Istra primerjalno prednost?</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Zakaj tu in ne kjerkoli drugje v Sloveniji</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7. Kakšen je potencial za izvoz?</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Ali je storitev prodajljiva izven regije</w:t>
            </w:r>
          </w:p>
        </w:tc>
      </w:tr>
    </w:tbl>
    <w:p>
      <w:pPr>
        <w:pStyle w:val="Heading2"/>
        <w:spacing w:after="140" w:before="320"/>
      </w:pPr>
      <w:r>
        <w:rPr>
          <w:b/>
          <w:bCs/>
          <w:color w:val="146C74"/>
          <w:sz w:val="25"/>
          <w:szCs w:val="25"/>
        </w:rPr>
        <w:t xml:space="preserve">2.1 Dodatni test poštenosti</w:t>
      </w:r>
    </w:p>
    <w:p>
      <w:pPr>
        <w:spacing w:after="140" w:line="288"/>
      </w:pPr>
      <w:r>
        <w:rPr>
          <w:sz w:val="21"/>
          <w:szCs w:val="21"/>
        </w:rPr>
        <w:t xml:space="preserve">Poleg sedmih vprašanj velja pravilo, ki smo si ga postavili v Dokumentu 3: kjer podatka nimamo, to napišemo. Pri ocenah trgov je skušnjava po navajanju velikih številk posebej velika, ker so takšne številke učinkovite v predstavitvah in težko preverljive v razpravi.</w:t>
      </w:r>
    </w:p>
    <w:p>
      <w:pPr>
        <w:spacing w:after="120" w:line="288"/>
      </w:pPr>
      <w:r>
        <w:rPr>
          <w:b/>
          <w:bCs/>
          <w:color w:val="1553A0"/>
          <w:sz w:val="21"/>
          <w:szCs w:val="21"/>
        </w:rPr>
        <w:t xml:space="preserve">[INTERPRETACIJA] </w:t>
      </w:r>
      <w:r>
        <w:rPr>
          <w:sz w:val="21"/>
          <w:szCs w:val="21"/>
        </w:rPr>
        <w:t xml:space="preserve">Najpogosteje citirana ocena evropske srebrne ekonomije izhaja iz študije, ki jo je za Evropsko komisijo izdelala družba Technopolis skupaj z Oxford Economics. Ocenila je porabo, povezano s prebivalstvom 50+, na 3,7 bilijona EUR v letu 2015 in projicirala 5,7 bilijona EUR do leta 2025. Ta projekcija je nastala leta 2018 — številke za leto 2025 torej niso meritev, ampak napoved, izdelana sedem let prej. Uporabna je za red velikosti, ne kot dokaz o trenutnem stanju trga.</w:t>
      </w:r>
    </w:p>
    <w:p>
      <w:pPr>
        <w:spacing w:after="220"/>
      </w:pPr>
      <w:r>
        <w:rPr>
          <w:i/>
          <w:iCs/>
          <w:color w:val="595959"/>
          <w:sz w:val="18"/>
          <w:szCs w:val="18"/>
        </w:rPr>
        <w:t xml:space="preserve">Vir: Evropska komisija, Silver Economy Study (Technopolis / Oxford Economics)</w:t>
      </w:r>
    </w:p>
    <w:p>
      <w:r>
        <w:br w:type="page"/>
      </w:r>
    </w:p>
    <w:p>
      <w:pPr>
        <w:pStyle w:val="Heading1"/>
        <w:pBdr>
          <w:bottom w:val="single" w:color="0F3D3E" w:sz="8" w:space="4"/>
        </w:pBdr>
        <w:spacing w:after="200" w:before="480"/>
      </w:pPr>
      <w:r>
        <w:rPr>
          <w:b/>
          <w:bCs/>
          <w:color w:val="0F3D3E"/>
          <w:sz w:val="30"/>
          <w:szCs w:val="30"/>
        </w:rPr>
        <w:t xml:space="preserve">3. Srebrna ekonomija</w:t>
      </w:r>
    </w:p>
    <w:p>
      <w:pPr>
        <w:spacing w:after="140" w:line="288"/>
      </w:pPr>
      <w:r>
        <w:rPr>
          <w:sz w:val="21"/>
          <w:szCs w:val="21"/>
        </w:rPr>
        <w:t xml:space="preserve">Srebrna ekonomija je najširši od petih pojmov: zajema celotno porabo prebivalstva, starega 50 ali več let, od bivanja in mobilnosti do financ, prehrane in prostega časa. Prav zaradi širine je najmanj uporabna kot poslovna usmeritev in najbolj uporabna kot okvir.</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rPr>
          <w:tblHeader/>
        </w:trPr>
        <w:tc>
          <w:tcPr>
            <w:tcW w:type="dxa" w:w="26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Vprašanje</w:t>
            </w:r>
          </w:p>
        </w:tc>
        <w:tc>
          <w:tcPr>
            <w:tcW w:type="dxa" w:w="64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Odgovor za Slovensko Istro</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1. Kakšen problem rešuje?</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Starejši potrošniki imajo drugačne potrebe od povprečnega ponudnikovega predvidevanja: dostopnost, varnost, preprostost uporabe, zaupanje. Velik del ponudbe teh potreb ne naslavlja.</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2. Kdo je kupec?</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Pretežno posameznik sam iz pokojnine, prihrankov ali premoženja; delno svojci; delno zavarovalnice in občine pri storitvah, ki jih sofinancirajo.</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3. Kdo bi lahko storitev proizvajal?</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Obstoječa podjetja v trgovini, gostinstvu, financah, gradbeništvu in turizmu — praviloma s prilagoditvijo, ne z novo dejavnostjo. Nova podjetja predvsem v tehnologiji in storitvah na domu.</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4. Katera znanja potrebujemo?</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Univerzalno oblikovanje, gerontologija za nezdravstvene poklice, dostopna komunikacija, digitalna dostopnost, poznavanje pravnega okvira dolgotrajne oskrbe.</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5. Koliko časa za razvoj?</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Kratek do srednji: prilagoditev obstoječe ponudbe je mogoča v enem do treh letih, ker ne zahteva nove infrastrukture.</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6. Ali ima Istra primerjalno prednost?</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Delna. Regija ima nadpovprečno starejšo populacijo in visok delež starejših obiskovalcev, kar je dobro testno okolje. Nima pa proizvodne baze, ki bi bila v tem specifična.</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7. Kakšen je potencial za izvoz?</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Nizek za srebrno ekonomijo kot celoto; posamezni izdelki in storitve so lahko izvozljivi, panoga kot taka pa ni.</w:t>
            </w:r>
          </w:p>
        </w:tc>
      </w:tr>
    </w:tbl>
    <w:p>
      <w:pPr>
        <w:spacing w:after="120" w:line="288"/>
      </w:pPr>
      <w:r>
        <w:rPr>
          <w:b/>
          <w:bCs/>
          <w:color w:val="1553A0"/>
          <w:sz w:val="21"/>
          <w:szCs w:val="21"/>
        </w:rPr>
        <w:t xml:space="preserve">[INTERPRETACIJA] </w:t>
      </w:r>
      <w:r>
        <w:rPr>
          <w:sz w:val="21"/>
          <w:szCs w:val="21"/>
        </w:rPr>
        <w:t xml:space="preserve">Srebrna ekonomija je za Slovensko Istro predvsem okvir za razumevanje trga, ne pa panoga, v katero bi se dalo neposredno vstopiti. Konkretne priložnosti nastanejo v njenih ožjih delih — dolgoživosti, oskrbi in tehnologiji — ki jih obravnavamo posebej.</w:t>
      </w:r>
    </w:p>
    <w:p>
      <w:pPr>
        <w:pStyle w:val="Heading2"/>
        <w:spacing w:after="140" w:before="320"/>
      </w:pPr>
      <w:r>
        <w:rPr>
          <w:b/>
          <w:bCs/>
          <w:color w:val="146C74"/>
          <w:sz w:val="25"/>
          <w:szCs w:val="25"/>
        </w:rPr>
        <w:t xml:space="preserve">3.1 Kje je srebrna ekonomija v Istri že prepoznana</w:t>
      </w:r>
    </w:p>
    <w:p>
      <w:pPr>
        <w:spacing w:after="140" w:line="288"/>
      </w:pPr>
      <w:r>
        <w:rPr>
          <w:sz w:val="21"/>
          <w:szCs w:val="21"/>
        </w:rPr>
        <w:t xml:space="preserve">Mestna občina Koper je junija 2026 skupaj z Univerzo na Primorskem, ZRS Koper, Luko Koper in Primorsko gospodarsko zbornico srebrno ekonomijo uvrstila med štiri razvojne stebre do leta 2050, ob logistiki, modri ekonomiji ter trajnostnem kmetijstvu in turizmu.</w:t>
      </w:r>
    </w:p>
    <w:p>
      <w:pPr>
        <w:spacing w:after="220"/>
      </w:pPr>
      <w:r>
        <w:rPr>
          <w:i/>
          <w:iCs/>
          <w:color w:val="595959"/>
          <w:sz w:val="18"/>
          <w:szCs w:val="18"/>
        </w:rPr>
        <w:t xml:space="preserve">Vir: ZRS Koper (junij 2026)</w:t>
      </w:r>
    </w:p>
    <w:p>
      <w:pPr>
        <w:spacing w:after="120" w:line="288"/>
      </w:pPr>
      <w:r>
        <w:rPr>
          <w:b/>
          <w:bCs/>
          <w:color w:val="7A2E8A"/>
          <w:sz w:val="21"/>
          <w:szCs w:val="21"/>
        </w:rPr>
        <w:t xml:space="preserve">[PREDLOG] </w:t>
      </w:r>
      <w:r>
        <w:rPr>
          <w:sz w:val="21"/>
          <w:szCs w:val="21"/>
        </w:rPr>
        <w:t xml:space="preserve">Ker je usmeritev na ravni največje občine že sprejeta, je najbolj smiseln naslednji korak njena operacionalizacija: iz stebra v strategiji narediti nabor konkretnih projektov s kupcem, ponudnikom in rokom. Ta dokument je zasnovan kot podlaga prav za to.</w:t>
      </w:r>
    </w:p>
    <w:p>
      <w:r>
        <w:br w:type="page"/>
      </w:r>
    </w:p>
    <w:p>
      <w:pPr>
        <w:pStyle w:val="Heading1"/>
        <w:pBdr>
          <w:bottom w:val="single" w:color="0F3D3E" w:sz="8" w:space="4"/>
        </w:pBdr>
        <w:spacing w:after="200" w:before="480"/>
      </w:pPr>
      <w:r>
        <w:rPr>
          <w:b/>
          <w:bCs/>
          <w:color w:val="0F3D3E"/>
          <w:sz w:val="30"/>
          <w:szCs w:val="30"/>
        </w:rPr>
        <w:t xml:space="preserve">4. Ekonomija dolgoživosti</w:t>
      </w:r>
    </w:p>
    <w:p>
      <w:pPr>
        <w:spacing w:after="140" w:line="288"/>
      </w:pPr>
      <w:r>
        <w:rPr>
          <w:sz w:val="21"/>
          <w:szCs w:val="21"/>
        </w:rPr>
        <w:t xml:space="preserve">Ekonomija dolgoživosti je ožja in bolj obetavna: gre za preventivo, diagnostiko, rehabilitacijo, wellness, prehrano, gibanje in zdravstveni turizem — torej za storitve, ki podaljšujejo obdobje zdravega življenja, ne le življenja.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rPr>
          <w:tblHeader/>
        </w:trPr>
        <w:tc>
          <w:tcPr>
            <w:tcW w:type="dxa" w:w="26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Vprašanje</w:t>
            </w:r>
          </w:p>
        </w:tc>
        <w:tc>
          <w:tcPr>
            <w:tcW w:type="dxa" w:w="64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Odgovor za Slovensko Istro</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1. Kakšen problem rešuje?</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Podaljšanje zdravih let življenja in zamik potrebe po institucionalni oskrbi. Ugotovitev MDS, da so starejši danes funkcionalno mlajši, je hkrati dokaz, da ta trg deluje.</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2. Kdo je kupec?</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Posamezniki z višjo kupno močjo (domači in tuji), delodajalci pri programih zdravja zaposlenih, zavarovalnice, deloma javni zdravstveni sistem pri rehabilitaciji.</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3. Kdo bi lahko storitev proizvajal?</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Obstoječi zdraviliški, wellness in turistični sektor; Splošna bolnišnica Izola pri rehabilitaciji; fizioterapevti in zasebni izvajalci; Univerza na Primorskem pri programih in raziskavah.</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4. Katera znanja potrebujemo?</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Fizioterapija, kineziologija, dietetika, preventivna medicina, geriatrija, program management, tuji jeziki, trženje zdravstvenih storitev.</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5. Koliko časa za razvoj?</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Srednji: dve do pet let za razvoj resnih programov z medicinsko vsebino; krajše za nadgradnjo obstoječe wellness ponudbe.</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6. Ali ima Istra primerjalno prednost?</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Da — to je področje z najjasnejšo prednostjo. Kombinacija morja, zmerne klime, mediteranske prehrane, obstoječe zdravstvene infrastrukture, univerze in turistične zmogljivosti je v slovenskem merilu edinstvena. Morska voda se lahko uporablja v programih dobrega počutja in nekaterih strokovno utemeljenih terapevtskih programih; posamezne zdravstvene trditve morajo temeljiti na medicinskih dokazih in veljavnih pravilih za naravne zdravilne dejavnike.</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7. Kakšen je potencial za izvoz?</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Visok. Storitev se prodaja obiskovalcu, ki pride v regijo — izvoz torej ne zahteva logistike, ampak trženje in kakovost.</w:t>
            </w:r>
          </w:p>
        </w:tc>
      </w:tr>
    </w:tbl>
    <w:p>
      <w:pPr>
        <w:pStyle w:val="Heading2"/>
        <w:spacing w:after="140" w:before="320"/>
      </w:pPr>
      <w:r>
        <w:rPr>
          <w:b/>
          <w:bCs/>
          <w:color w:val="146C74"/>
          <w:sz w:val="25"/>
          <w:szCs w:val="25"/>
        </w:rPr>
        <w:t xml:space="preserve">4.1 Zakaj je to najbolj obetavno področje</w:t>
      </w:r>
    </w:p>
    <w:p>
      <w:pPr>
        <w:spacing w:after="140" w:line="288"/>
      </w:pPr>
      <w:r>
        <w:rPr>
          <w:sz w:val="21"/>
          <w:szCs w:val="21"/>
        </w:rPr>
        <w:t xml:space="preserve">Med petimi obravnavanimi ekonomijami ima dolgoživost največ obstoječe podlage. Slovenija ima razvit zdraviliški sektor — Skupnost slovenskih naravnih zdravilišč povezuje dvanajst zdravilišč in je najstarejše turistično gospodarsko interesno združenje v državi. Med priznanimi naravnimi zdravilnimi dejavniki je poleg termalne in mineralne vode tudi morska voda ter peloidi in mikroklima.</w:t>
      </w:r>
    </w:p>
    <w:p>
      <w:pPr>
        <w:spacing w:after="220"/>
      </w:pPr>
      <w:r>
        <w:rPr>
          <w:i/>
          <w:iCs/>
          <w:color w:val="595959"/>
          <w:sz w:val="18"/>
          <w:szCs w:val="18"/>
        </w:rPr>
        <w:t xml:space="preserve">Vir: Skupnost slovenskih naravnih zdravilišč (slovenia-terme.si)</w:t>
      </w:r>
    </w:p>
    <w:p>
      <w:pPr>
        <w:spacing w:after="120" w:line="288"/>
      </w:pPr>
      <w:r>
        <w:rPr>
          <w:b/>
          <w:bCs/>
          <w:color w:val="7A2E8A"/>
          <w:sz w:val="21"/>
          <w:szCs w:val="21"/>
        </w:rPr>
        <w:t xml:space="preserve">[PREDLOG] </w:t>
      </w:r>
      <w:r>
        <w:rPr>
          <w:sz w:val="21"/>
          <w:szCs w:val="21"/>
        </w:rPr>
        <w:t xml:space="preserve">Predlagana usmeritev ni tekmovanje s termalnimi zdravilišči celinske Slovenije, ampak razvoj tistega, česar ta nimajo: morja, mediteranske prehrane, celoletne zunanje aktivnosti in bližine dveh tujih trgov. Produkt ni vikend wellness paket, temveč štirinajstdnevni preventivni program, tridesetdnevna rehabilitacija ali daljše zimsko bivanje.</w:t>
      </w:r>
    </w:p>
    <w:p>
      <w:pPr>
        <w:pStyle w:val="Heading2"/>
        <w:spacing w:after="140" w:before="320"/>
      </w:pPr>
      <w:r>
        <w:rPr>
          <w:b/>
          <w:bCs/>
          <w:color w:val="146C74"/>
          <w:sz w:val="25"/>
          <w:szCs w:val="25"/>
        </w:rPr>
        <w:t xml:space="preserve">4.2 Učinek na sezonskost</w:t>
      </w:r>
    </w:p>
    <w:p>
      <w:pPr>
        <w:spacing w:after="120" w:line="288"/>
      </w:pPr>
      <w:r>
        <w:rPr>
          <w:b/>
          <w:bCs/>
          <w:color w:val="1553A0"/>
          <w:sz w:val="21"/>
          <w:szCs w:val="21"/>
        </w:rPr>
        <w:t xml:space="preserve">[INTERPRETACIJA] </w:t>
      </w:r>
      <w:r>
        <w:rPr>
          <w:sz w:val="21"/>
          <w:szCs w:val="21"/>
        </w:rPr>
        <w:t xml:space="preserve">Gost, ki ostane tri tedne oktobra, ima za lokalno gospodarstvo bistveno drugačen učinek kot gost, ki pride za dve noči avgusta: manjša obremenitev poletne infrastrukture, večja poraba na obiskovalca in — kar je demografsko najpomembnejše — možnost celoletne zaposlitve namesto sezonske. Sezonsko zaposlovanje je eden od razlogov, zaradi katerih mladi težko načrtujejo življenje v regiji.</w:t>
      </w:r>
    </w:p>
    <w:p>
      <w:pPr>
        <w:spacing w:after="120" w:line="288"/>
      </w:pPr>
      <w:r>
        <w:rPr>
          <w:b/>
          <w:bCs/>
          <w:color w:val="9A6B00"/>
          <w:sz w:val="21"/>
          <w:szCs w:val="21"/>
        </w:rPr>
        <w:t xml:space="preserve">[HIPOTEZA] </w:t>
      </w:r>
      <w:r>
        <w:rPr>
          <w:sz w:val="21"/>
          <w:szCs w:val="21"/>
        </w:rPr>
        <w:t xml:space="preserve">Da bi razvoj programov dolgoživosti dejansko zmanjšal sezonskost in povečal delež celoletnih zaposlitev, je verjetno, ni pa dokazano. Predlagamo, da se ob morebitnem pilotnem programu od začetka meri prav to — delež celoletnih zaposlitev, ne le število nočitev.</w:t>
      </w:r>
    </w:p>
    <w:p>
      <w:r>
        <w:br w:type="page"/>
      </w:r>
    </w:p>
    <w:p>
      <w:pPr>
        <w:pStyle w:val="Heading1"/>
        <w:pBdr>
          <w:bottom w:val="single" w:color="0F3D3E" w:sz="8" w:space="4"/>
        </w:pBdr>
        <w:spacing w:after="200" w:before="480"/>
      </w:pPr>
      <w:r>
        <w:rPr>
          <w:b/>
          <w:bCs/>
          <w:color w:val="0F3D3E"/>
          <w:sz w:val="30"/>
          <w:szCs w:val="30"/>
        </w:rPr>
        <w:t xml:space="preserve">5. Ekonomija odpornosti</w:t>
      </w:r>
    </w:p>
    <w:p>
      <w:pPr>
        <w:spacing w:after="140" w:line="288"/>
      </w:pPr>
      <w:r>
        <w:rPr>
          <w:sz w:val="21"/>
          <w:szCs w:val="21"/>
        </w:rPr>
        <w:t xml:space="preserve">Ekonomija odpornosti zajema energijo, vodo, prehransko tehnologijo, gradnjo, avtomatizacijo infrastrukture in senzoriko. Izhaja neposredno iz Dokumenta 3: vsak ukrep za zmanjšanje odvisnosti nekdo izvede, in ta nekdo je lahko domači ponudnik.</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rPr>
          <w:tblHeader/>
        </w:trPr>
        <w:tc>
          <w:tcPr>
            <w:tcW w:type="dxa" w:w="26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Vprašanje</w:t>
            </w:r>
          </w:p>
        </w:tc>
        <w:tc>
          <w:tcPr>
            <w:tcW w:type="dxa" w:w="64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Odgovor za Slovensko Istro</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1. Kakšen problem rešuje?</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Zmanjšanje izpostavljenosti cenovnim, dobavnim in podnebnim motnjam pri vodi, energiji, hrani in bivanju.</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2. Kdo je kupec?</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Občine in javni zavodi (največji posamični kupec), gospodinjstva, hoteli in turistični obrati, kmetijska gospodarstva, upravljavci infrastrukture.</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3. Kdo bi lahko storitev proizvajal?</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Obstoječa lokalna podjetja v gradbeništvu, inštalaterstvu, elektrotehniki in IT; komunalna podjetja; nova podjetja v senzoriki in upravljanju porabe.</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4. Katera znanja potrebujemo?</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Energetika in energetske skupnosti, upravljanje vodnih sistemov, senzorika in meritve, podatkovna analitika, projektiranje odporne gradnje, javno naročanje.</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5. Koliko časa za razvoj?</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Kratek za meritve in prilagoditve (do dveh let), srednji do dolg za infrastrukturne sisteme (tri do deset let).</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6. Ali ima Istra primerjalno prednost?</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Delno. Prednosti ni v tehnologiji, ampak v nujnosti: regija ima resnične omejitve pri vodi in izrazito sezonsko konico porabe, kar ustvarja domači trg in poligon za preverjanje rešitev.</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7. Kakšen je potencial za izvoz?</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Srednji, a specifičen: izvozljiva ni oprema, temveč metoda upravljanja pomanjkanja — kako uskladiti turistično konico z omejenim vodnim virom, kako povezati sezonske in celoletne porabnike v energetsko skupnost.</w:t>
            </w:r>
          </w:p>
        </w:tc>
      </w:tr>
    </w:tbl>
    <w:p>
      <w:pPr>
        <w:pStyle w:val="Heading2"/>
        <w:spacing w:after="140" w:before="320"/>
      </w:pPr>
      <w:r>
        <w:rPr>
          <w:b/>
          <w:bCs/>
          <w:color w:val="146C74"/>
          <w:sz w:val="25"/>
          <w:szCs w:val="25"/>
        </w:rPr>
        <w:t xml:space="preserve">5.1 Domači trg že obstaja</w:t>
      </w:r>
    </w:p>
    <w:p>
      <w:pPr>
        <w:spacing w:after="140" w:line="288"/>
      </w:pPr>
      <w:r>
        <w:rPr>
          <w:sz w:val="21"/>
          <w:szCs w:val="21"/>
        </w:rPr>
        <w:t xml:space="preserve">Kot navaja Dokument 3, se skupnostna samooskrba z energijo v Sloveniji približno podvoji vsako leto; konec leta 2025 je obsegala več kot 500 projektov s skupno močjo 36 MW, skupna moč sončnih elektrarn pa je dosegla 1.571 MW. Vodne izgube v javnih vodovodnih omrežjih so leta 2024 znašale 46,6 milijona kubičnih metrov — več kot četrtino vse načrpane vode.</w:t>
      </w:r>
    </w:p>
    <w:p>
      <w:pPr>
        <w:spacing w:after="220"/>
      </w:pPr>
      <w:r>
        <w:rPr>
          <w:i/>
          <w:iCs/>
          <w:color w:val="595959"/>
          <w:sz w:val="18"/>
          <w:szCs w:val="18"/>
        </w:rPr>
        <w:t xml:space="preserve">Vir: Portal Energetika (januar 2026); SURS, statistika voda 2024</w:t>
      </w:r>
    </w:p>
    <w:p>
      <w:pPr>
        <w:spacing w:after="120" w:line="288"/>
      </w:pPr>
      <w:r>
        <w:rPr>
          <w:b/>
          <w:bCs/>
          <w:color w:val="1553A0"/>
          <w:sz w:val="21"/>
          <w:szCs w:val="21"/>
        </w:rPr>
        <w:t xml:space="preserve">[INTERPRETACIJA] </w:t>
      </w:r>
      <w:r>
        <w:rPr>
          <w:sz w:val="21"/>
          <w:szCs w:val="21"/>
        </w:rPr>
        <w:t xml:space="preserve">Obe številki opisujeta trg, ki ga je treba nekomu pokriti. Zmanjševanje vodnih izgub, postavljanje in upravljanje skupnostnih elektrarn ter senzorika za spremljanje porabe so storitve z jasnim kupcem — občino ali javni zavod — in z rastočim povpraševanjem. To je redka kombinacija.</w:t>
      </w:r>
    </w:p>
    <w:p>
      <w:pPr>
        <w:spacing w:after="120" w:line="288"/>
      </w:pPr>
      <w:r>
        <w:rPr>
          <w:b/>
          <w:bCs/>
          <w:color w:val="7A2E8A"/>
          <w:sz w:val="21"/>
          <w:szCs w:val="21"/>
        </w:rPr>
        <w:t xml:space="preserve">[PREDLOG] </w:t>
      </w:r>
      <w:r>
        <w:rPr>
          <w:sz w:val="21"/>
          <w:szCs w:val="21"/>
        </w:rPr>
        <w:t xml:space="preserve">Predlagamo, da občine pri javnih naročilih za te storitve izrecno preverijo, ali obstaja lokalni ponudnik, in kjer ga ni, to obravnavajo kot podatek o vrzeli v gospodarstvu regije, ne le kot naročniško vprašanje.</w:t>
      </w:r>
    </w:p>
    <w:p>
      <w:r>
        <w:br w:type="page"/>
      </w:r>
    </w:p>
    <w:p>
      <w:pPr>
        <w:pStyle w:val="Heading1"/>
        <w:pBdr>
          <w:bottom w:val="single" w:color="0F3D3E" w:sz="8" w:space="4"/>
        </w:pBdr>
        <w:spacing w:after="200" w:before="480"/>
      </w:pPr>
      <w:r>
        <w:rPr>
          <w:b/>
          <w:bCs/>
          <w:color w:val="0F3D3E"/>
          <w:sz w:val="30"/>
          <w:szCs w:val="30"/>
        </w:rPr>
        <w:t xml:space="preserve">6. Ekonomija oskrbe</w:t>
      </w:r>
    </w:p>
    <w:p>
      <w:pPr>
        <w:spacing w:after="140" w:line="288"/>
      </w:pPr>
      <w:r>
        <w:rPr>
          <w:sz w:val="21"/>
          <w:szCs w:val="21"/>
        </w:rPr>
        <w:t xml:space="preserve">Ekonomija oskrbe zajema dolgotrajno oskrbo, pomoč na domu, fizioterapijo in podporo svojcem. Med petimi področji ima najbolj gotovo povpraševanje in najbolj negotovo ponudbo.</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rPr>
          <w:tblHeader/>
        </w:trPr>
        <w:tc>
          <w:tcPr>
            <w:tcW w:type="dxa" w:w="26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Vprašanje</w:t>
            </w:r>
          </w:p>
        </w:tc>
        <w:tc>
          <w:tcPr>
            <w:tcW w:type="dxa" w:w="64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Odgovor za Slovensko Istro</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1. Kakšen problem rešuje?</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Naraščajoča potreba po oskrbi ob hkratnem zmanjševanju števila ljudi, ki jo lahko izvajajo. Gre za edino področje, kjer je povpraševanje demografsko zagotovljeno.</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2. Kdo je kupec?</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Predvsem javni sistem prek zavarovanja za dolgotrajno oskrbo, deloma posamezniki in svojci; pri nadstandardnih storitvah zasebni plačniki.</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3. Kdo bi lahko storitev proizvajal?</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Domovi starejših in koncesionarji, centri za socialno delo, izvajalci pomoči na domu, zasebni izvajalci fizioterapije, prostovoljske in medgeneracijske organizacije.</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4. Katera znanja potrebujemo?</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Zdravstvena nega, socialna oskrba, geriatrija, demenca, paliativna oskrba, delovna terapija, koordinacija oskrbe, delo s svojci.</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5. Koliko časa za razvoj?</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Dolg. Izobraževalna veriga za te poklice traja več let, zato odločitve, sprejete danes, učinkujejo po letu 2032.</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6. Ali ima Istra primerjalno prednost?</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Ne posebej — potreba je enaka po vsej Sloveniji. Prednost regije je lahko v modelu izvedbe (medgeneracijsko bivanje, povezava z rehabilitacijo in turizmom), ne v sami dejavnosti.</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7. Kakšen je potencial za izvoz?</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Nizek pri storitvi sami, srednji pri modelu in znanju, če bi regija razvila delujoč model kombinirane oskrbe.</w:t>
            </w:r>
          </w:p>
        </w:tc>
      </w:tr>
    </w:tbl>
    <w:p>
      <w:pPr>
        <w:pStyle w:val="Heading2"/>
        <w:spacing w:after="140" w:before="320"/>
      </w:pPr>
      <w:r>
        <w:rPr>
          <w:b/>
          <w:bCs/>
          <w:color w:val="146C74"/>
          <w:sz w:val="25"/>
          <w:szCs w:val="25"/>
        </w:rPr>
        <w:t xml:space="preserve">6.1 Obseg sistema danes</w:t>
      </w:r>
    </w:p>
    <w:p>
      <w:pPr>
        <w:spacing w:after="120" w:line="288"/>
      </w:pPr>
      <w:r>
        <w:rPr>
          <w:b/>
          <w:bCs/>
          <w:color w:val="1B6E30"/>
          <w:sz w:val="21"/>
          <w:szCs w:val="21"/>
        </w:rPr>
        <w:t xml:space="preserve">[DEJSTVO] </w:t>
      </w:r>
      <w:r>
        <w:rPr>
          <w:sz w:val="21"/>
          <w:szCs w:val="21"/>
        </w:rPr>
        <w:t xml:space="preserve">Ob koncu leta 2024 je bilo v Sloveniji 22.408 mest v mreži: 13.617 v 59 javnih zavodih, 6.494 pri 49 izvajalcih s koncesijo in 2.297 v posebnih zavodih za odrasle.</w:t>
      </w:r>
    </w:p>
    <w:p>
      <w:pPr>
        <w:spacing w:after="220"/>
      </w:pPr>
      <w:r>
        <w:rPr>
          <w:i/>
          <w:iCs/>
          <w:color w:val="595959"/>
          <w:sz w:val="18"/>
          <w:szCs w:val="18"/>
        </w:rPr>
        <w:t xml:space="preserve">Vir: Skupnost socialnih zavodov Slovenije (podatki za konec leta 2024)</w:t>
      </w:r>
    </w:p>
    <w:p>
      <w:pPr>
        <w:spacing w:after="140" w:line="288"/>
      </w:pPr>
      <w:r>
        <w:rPr>
          <w:sz w:val="21"/>
          <w:szCs w:val="21"/>
        </w:rPr>
        <w:t>Zakon o dolgotrajni oskrbi se izvaja postopoma: prispevek se plačuje od 1. julija 2025, uporabniki od 1. decembra 2025 pri dolgotrajni oskrbi v instituciji plačujejo nastanitev in prehrano po pravilih sistema, medtem ko se storitve dolgotrajne oskrbe krijejo iz zavarovanja; dejanski znesek je odvisen od izvajalca in bivalnega standarda, status oskrbovalca družinskega člana pa je v prvem letu in pol pridobilo približno 1.600 oseb.</w:t>
      </w:r>
    </w:p>
    <w:p>
      <w:pPr>
        <w:spacing w:after="220"/>
      </w:pPr>
      <w:r>
        <w:rPr>
          <w:i/>
          <w:iCs/>
          <w:color w:val="595959"/>
          <w:sz w:val="18"/>
          <w:szCs w:val="18"/>
        </w:rPr>
        <w:t xml:space="preserve">Vir: Uradni list RS; novela zakona sprejeta 12. junija 2025</w:t>
      </w:r>
    </w:p>
    <w:p>
      <w:pPr>
        <w:spacing w:after="120" w:line="288"/>
      </w:pPr>
      <w:r>
        <w:rPr>
          <w:b/>
          <w:bCs/>
          <w:color w:val="595959"/>
          <w:sz w:val="21"/>
          <w:szCs w:val="21"/>
        </w:rPr>
        <w:t xml:space="preserve">[PODATEK NI NA VOLJO] </w:t>
      </w:r>
      <w:r>
        <w:rPr>
          <w:sz w:val="21"/>
          <w:szCs w:val="21"/>
        </w:rPr>
        <w:t xml:space="preserve">Števila mest v domovih starejših, čakalnih dob in obsega pomoči na domu posebej za Koper, Izolo, Piran in Ankaran v tem pregledu nismo pridobili. Ker Izola načrtuje nov dom v Livadah s približno 150 posteljami, je ta podatek za oceno regijske potrebe nujen — brez njega ni mogoče presoditi, ali je načrtovana kapaciteta ustrezna, premajhna ali preveč osredotočena na institucionalno obliko.</w:t>
      </w:r>
    </w:p>
    <w:p>
      <w:pPr>
        <w:pStyle w:val="Heading2"/>
        <w:spacing w:after="140" w:before="320"/>
      </w:pPr>
      <w:r>
        <w:rPr>
          <w:b/>
          <w:bCs/>
          <w:color w:val="146C74"/>
          <w:sz w:val="25"/>
          <w:szCs w:val="25"/>
        </w:rPr>
        <w:t xml:space="preserve">6.2 Kadrovska vrzel je resnična omejitev</w:t>
      </w:r>
    </w:p>
    <w:p>
      <w:pPr>
        <w:spacing w:after="140" w:line="288"/>
      </w:pPr>
      <w:r>
        <w:rPr>
          <w:sz w:val="21"/>
          <w:szCs w:val="21"/>
        </w:rPr>
        <w:t xml:space="preserve">Zavod RS za zaposlovanje uvršča negovalce, osebne asistente in socialne oskrbovalce med deficitarne poklice. Nacionalno je bilo v prvem četrtletju 2026 evidentiranih približno 20.300 prostih delovnih mest, leta 2025 pa je bilo tujcem izdanih 42.339 delovnih dovoljenj.</w:t>
      </w:r>
    </w:p>
    <w:p>
      <w:pPr>
        <w:spacing w:after="220"/>
      </w:pPr>
      <w:r>
        <w:rPr>
          <w:i/>
          <w:iCs/>
          <w:color w:val="595959"/>
          <w:sz w:val="18"/>
          <w:szCs w:val="18"/>
        </w:rPr>
        <w:t xml:space="preserve">Vir: ZRSZ, Strokovna izhodišča za leto 2026</w:t>
      </w:r>
    </w:p>
    <w:p>
      <w:pPr>
        <w:spacing w:after="120" w:line="288"/>
      </w:pPr>
      <w:r>
        <w:rPr>
          <w:b/>
          <w:bCs/>
          <w:color w:val="1553A0"/>
          <w:sz w:val="21"/>
          <w:szCs w:val="21"/>
        </w:rPr>
        <w:t xml:space="preserve">[INTERPRETACIJA] </w:t>
      </w:r>
      <w:r>
        <w:rPr>
          <w:sz w:val="21"/>
          <w:szCs w:val="21"/>
        </w:rPr>
        <w:t xml:space="preserve">Pri ekonomiji oskrbe je omejitev kader, ne povpraševanje in ne financiranje. To pomeni, da ukrepi, ki povečujejo število oskrbovalnih mest brez hkratnega reševanja kadrovskega vprašanja, ustvarijo zmogljivost, ki je ne bo mogoče uporabiti. Prav zato Dokument 3 uvršča izobraževalne odločitve med tiste z najdaljšim zamikom in najvišjo ceno neukrepanja.</w:t>
      </w:r>
    </w:p>
    <w:p>
      <w:pPr>
        <w:spacing w:after="120" w:line="288"/>
      </w:pPr>
      <w:r>
        <w:rPr>
          <w:b/>
          <w:bCs/>
          <w:color w:val="7A2E8A"/>
          <w:sz w:val="21"/>
          <w:szCs w:val="21"/>
        </w:rPr>
        <w:t xml:space="preserve">[PREDLOG] </w:t>
      </w:r>
      <w:r>
        <w:rPr>
          <w:sz w:val="21"/>
          <w:szCs w:val="21"/>
        </w:rPr>
        <w:t xml:space="preserve">Kombinacija, ki se zdi za Slovensko Istro najbolj smiselna: manj poudarka na povečevanju izključno institucionalnih postelj in več na kombinaciji oskrbovanih stanovanj, pomoči na domu, dnevnih centrov, rehabilitacije in podpore svojcem — z jasno kadrovsko projekcijo za vsako od teh oblik.</w:t>
      </w:r>
    </w:p>
    <w:p>
      <w:r>
        <w:br w:type="page"/>
      </w:r>
    </w:p>
    <w:p>
      <w:pPr>
        <w:pStyle w:val="Heading1"/>
        <w:pBdr>
          <w:bottom w:val="single" w:color="0F3D3E" w:sz="8" w:space="4"/>
        </w:pBdr>
        <w:spacing w:after="200" w:before="480"/>
      </w:pPr>
      <w:r>
        <w:rPr>
          <w:b/>
          <w:bCs/>
          <w:color w:val="0F3D3E"/>
          <w:sz w:val="30"/>
          <w:szCs w:val="30"/>
        </w:rPr>
        <w:t xml:space="preserve">7. Ekonomija avtomatizacije</w:t>
      </w:r>
    </w:p>
    <w:p>
      <w:pPr>
        <w:spacing w:after="140" w:line="288"/>
      </w:pPr>
      <w:r>
        <w:rPr>
          <w:sz w:val="21"/>
          <w:szCs w:val="21"/>
        </w:rPr>
        <w:t xml:space="preserve">Ekonomija avtomatizacije zajema javno upravo, zdravstvo, logistiko, gostinstvo in vzdrževanje. Od ostalih štirih se razlikuje po tem, da ni toliko samostojen trg, kolikor pogoj, da drugi štirje sploh delujejo ob manjšem številu razpoložljivih ljudi.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600"/>
        <w:gridCol w:w="6400"/>
      </w:tblGrid>
      <w:tr>
        <w:trPr>
          <w:tblHeader/>
        </w:trPr>
        <w:tc>
          <w:tcPr>
            <w:tcW w:type="dxa" w:w="26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Vprašanje</w:t>
            </w:r>
          </w:p>
        </w:tc>
        <w:tc>
          <w:tcPr>
            <w:tcW w:type="dxa" w:w="64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Odgovor za Slovensko Istro</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1. Kakšen problem rešuje?</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Pomanjkanje delovno aktivnega prebivalstva ob nespremenjenem ali rastočem obsegu storitev. Rešuje vprašanje, kako z manj ljudmi opraviti enako delo.</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2. Kdo je kupec?</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Občinske uprave in javni zavodi, zdravstvene ustanove, domovi starejših, komunalna podjetja, hoteli in gostinski obrati, logistična podjetja.</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3. Kdo bi lahko storitev proizvajal?</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Lokalna IT podjetja, ponudniki poslovnih rešitev, integratorji; pri robotiki predvsem tuji dobavitelji z lokalno izvedbo in vzdrževanjem.</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4. Katera znanja potrebujemo?</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Analiza in prenova procesov, podatkovna analitika, integracija sistemov, kibernetska varnost, upravljanje sprememb v organizacijah, vzdrževanje naprav.</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5. Koliko časa za razvoj?</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Kratek za digitalizacijo in optimizacijo postopkov (do dveh let), srednji za avtomatizacijo, dolg za fizično robotizacijo.</w:t>
            </w:r>
          </w:p>
        </w:tc>
      </w:tr>
      <w:tr>
        <w:tc>
          <w:tcPr>
            <w:tcW w:type="dxa" w:w="2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6. Ali ima Istra primerjalno prednost?</w:t>
            </w:r>
          </w:p>
        </w:tc>
        <w:tc>
          <w:tcPr>
            <w:tcW w:type="dxa" w:w="6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Ne. Prednost regije v tem ni; gre za splošno razpoložljive tehnologije. Prednost je lahko le v hitrosti uvedbe in kakovosti izvedbe.</w:t>
            </w:r>
          </w:p>
        </w:tc>
      </w:tr>
      <w:tr>
        <w:tc>
          <w:tcPr>
            <w:tcW w:type="dxa" w:w="2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7. Kakšen je potencial za izvoz?</w:t>
            </w:r>
          </w:p>
        </w:tc>
        <w:tc>
          <w:tcPr>
            <w:tcW w:type="dxa" w:w="6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Nizek pri tehnologiji, srednji pri metodi — model prenove postopkov v majhni občinski upravi je prenosljiv na druge slovenske občine s podobno velikostjo.</w:t>
            </w:r>
          </w:p>
        </w:tc>
      </w:tr>
    </w:tbl>
    <w:p>
      <w:pPr>
        <w:pStyle w:val="Heading2"/>
        <w:spacing w:after="140" w:before="320"/>
      </w:pPr>
      <w:r>
        <w:rPr>
          <w:b/>
          <w:bCs/>
          <w:color w:val="146C74"/>
          <w:sz w:val="25"/>
          <w:szCs w:val="25"/>
        </w:rPr>
        <w:t xml:space="preserve">7.1 Vrstni red je pomembnejši od tehnologije</w:t>
      </w:r>
    </w:p>
    <w:p>
      <w:pPr>
        <w:pBdr>
          <w:left w:val="single" w:color="8C6D31" w:sz="16" w:space="8"/>
        </w:pBdr>
        <w:spacing w:after="200" w:before="100"/>
        <w:ind w:left="400"/>
      </w:pPr>
      <w:r>
        <w:rPr>
          <w:i/>
          <w:iCs/>
          <w:color w:val="0F3D3E"/>
          <w:sz w:val="21"/>
          <w:szCs w:val="21"/>
        </w:rPr>
        <w:t xml:space="preserve">Človeka odstranimo iz mikroprocesa, kjer ni potreben, zato da lahko človeka ohranimo tam, kjer je njegova prisotnost nenadomestljiva.</w:t>
      </w:r>
    </w:p>
    <w:p>
      <w:pPr>
        <w:spacing w:after="140" w:line="288"/>
      </w:pPr>
      <w:r>
        <w:rPr>
          <w:sz w:val="21"/>
          <w:szCs w:val="21"/>
        </w:rPr>
        <w:t xml:space="preserve">Vrstni red digitalizacija → optimizacija → avtomatizacija → robotizacija, opisan v Dokumentu 1, je za to področje bistven. Avtomatizirati slabo zasnovan postopek pomeni pospešiti napako in podražiti njeno odpravo.</w:t>
      </w:r>
    </w:p>
    <w:p>
      <w:pPr>
        <w:spacing w:after="120" w:line="288"/>
      </w:pPr>
      <w:r>
        <w:rPr>
          <w:b/>
          <w:bCs/>
          <w:color w:val="1553A0"/>
          <w:sz w:val="21"/>
          <w:szCs w:val="21"/>
        </w:rPr>
        <w:t xml:space="preserve">[INTERPRETACIJA] </w:t>
      </w:r>
      <w:r>
        <w:rPr>
          <w:sz w:val="21"/>
          <w:szCs w:val="21"/>
        </w:rPr>
        <w:t xml:space="preserve">V oskrbi in zdravstvu ima avtomatizacija poseben pomen. Cilj ni nadomestiti oskrbovalca, ampak mu vrniti čas: če administrativno delo, dokumentacija in logistika vzamejo manjši del delovnika, ostane več časa za neposreden stik s človekom. V panogi z največjo kadrovsko vrzeljo je to najbolj neposreden način, da obstoječi kader pokrije večjo potrebo brez povečanja obremenitve.</w:t>
      </w:r>
    </w:p>
    <w:p>
      <w:r>
        <w:br w:type="page"/>
      </w:r>
    </w:p>
    <w:p>
      <w:pPr>
        <w:pStyle w:val="Heading1"/>
        <w:pBdr>
          <w:bottom w:val="single" w:color="0F3D3E" w:sz="8" w:space="4"/>
        </w:pBdr>
        <w:spacing w:after="200" w:before="480"/>
      </w:pPr>
      <w:r>
        <w:rPr>
          <w:b/>
          <w:bCs/>
          <w:color w:val="0F3D3E"/>
          <w:sz w:val="30"/>
          <w:szCs w:val="30"/>
        </w:rPr>
        <w:t xml:space="preserve">8. Primerjalna presoja petih ekonomij</w:t>
      </w:r>
    </w:p>
    <w:p>
      <w:pPr>
        <w:spacing w:after="140" w:line="288"/>
      </w:pPr>
      <w:r>
        <w:rPr>
          <w:sz w:val="21"/>
          <w:szCs w:val="21"/>
        </w:rPr>
        <w:t xml:space="preserve">Naslednja razvrstitev je presoja IDP na podlagi odgovorov na sedem vprašanj, ne tržna analiza. Namenjena je razvrščanju prioritet.</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100"/>
        <w:gridCol w:w="1800"/>
        <w:gridCol w:w="1300"/>
        <w:gridCol w:w="1400"/>
        <w:gridCol w:w="2400"/>
      </w:tblGrid>
      <w:tr>
        <w:trPr>
          <w:tblHeader/>
        </w:trPr>
        <w:tc>
          <w:tcPr>
            <w:tcW w:type="dxa" w:w="21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Področje</w:t>
            </w:r>
          </w:p>
        </w:tc>
        <w:tc>
          <w:tcPr>
            <w:tcW w:type="dxa" w:w="18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Gotovost povpraševanja</w:t>
            </w:r>
          </w:p>
        </w:tc>
        <w:tc>
          <w:tcPr>
            <w:tcW w:type="dxa" w:w="13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Prednost Istre</w:t>
            </w:r>
          </w:p>
        </w:tc>
        <w:tc>
          <w:tcPr>
            <w:tcW w:type="dxa" w:w="14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Izvozni potencial</w:t>
            </w:r>
          </w:p>
        </w:tc>
        <w:tc>
          <w:tcPr>
            <w:tcW w:type="dxa" w:w="24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Glavna omejitev</w:t>
            </w:r>
          </w:p>
        </w:tc>
      </w:tr>
      <w:tr>
        <w:tc>
          <w:tcPr>
            <w:tcW w:type="dxa" w:w="21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Dolgoživost</w:t>
            </w:r>
          </w:p>
        </w:tc>
        <w:tc>
          <w:tcPr>
            <w:tcW w:type="dxa" w:w="18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Srednja do visoka</w:t>
            </w:r>
          </w:p>
        </w:tc>
        <w:tc>
          <w:tcPr>
            <w:tcW w:type="dxa" w:w="13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Visoka</w:t>
            </w:r>
          </w:p>
        </w:tc>
        <w:tc>
          <w:tcPr>
            <w:tcW w:type="dxa" w:w="1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Visok</w:t>
            </w:r>
          </w:p>
        </w:tc>
        <w:tc>
          <w:tcPr>
            <w:tcW w:type="dxa" w:w="2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Potreba po medicinski vsebini, ne le wellnessu</w:t>
            </w:r>
          </w:p>
        </w:tc>
      </w:tr>
      <w:tr>
        <w:tc>
          <w:tcPr>
            <w:tcW w:type="dxa" w:w="21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Oskrba</w:t>
            </w:r>
          </w:p>
        </w:tc>
        <w:tc>
          <w:tcPr>
            <w:tcW w:type="dxa" w:w="18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Zelo visoka</w:t>
            </w:r>
          </w:p>
        </w:tc>
        <w:tc>
          <w:tcPr>
            <w:tcW w:type="dxa" w:w="13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Nizka</w:t>
            </w:r>
          </w:p>
        </w:tc>
        <w:tc>
          <w:tcPr>
            <w:tcW w:type="dxa" w:w="1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Nizek do srednji</w:t>
            </w:r>
          </w:p>
        </w:tc>
        <w:tc>
          <w:tcPr>
            <w:tcW w:type="dxa" w:w="2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Kader — izobraževalna veriga traja leta</w:t>
            </w:r>
          </w:p>
        </w:tc>
      </w:tr>
      <w:tr>
        <w:tc>
          <w:tcPr>
            <w:tcW w:type="dxa" w:w="21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Odpornost</w:t>
            </w:r>
          </w:p>
        </w:tc>
        <w:tc>
          <w:tcPr>
            <w:tcW w:type="dxa" w:w="18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Srednja do visoka</w:t>
            </w:r>
          </w:p>
        </w:tc>
        <w:tc>
          <w:tcPr>
            <w:tcW w:type="dxa" w:w="13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Srednja</w:t>
            </w:r>
          </w:p>
        </w:tc>
        <w:tc>
          <w:tcPr>
            <w:tcW w:type="dxa" w:w="1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Srednji (metoda)</w:t>
            </w:r>
          </w:p>
        </w:tc>
        <w:tc>
          <w:tcPr>
            <w:tcW w:type="dxa" w:w="2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Razdrobljeno naročanje po štirih občinah</w:t>
            </w:r>
          </w:p>
        </w:tc>
      </w:tr>
      <w:tr>
        <w:tc>
          <w:tcPr>
            <w:tcW w:type="dxa" w:w="21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Avtomatizacija</w:t>
            </w:r>
          </w:p>
        </w:tc>
        <w:tc>
          <w:tcPr>
            <w:tcW w:type="dxa" w:w="18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Visoka</w:t>
            </w:r>
          </w:p>
        </w:tc>
        <w:tc>
          <w:tcPr>
            <w:tcW w:type="dxa" w:w="13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Nizka</w:t>
            </w:r>
          </w:p>
        </w:tc>
        <w:tc>
          <w:tcPr>
            <w:tcW w:type="dxa" w:w="1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Nizek do srednji</w:t>
            </w:r>
          </w:p>
        </w:tc>
        <w:tc>
          <w:tcPr>
            <w:tcW w:type="dxa" w:w="2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Zahteva prenovo postopkov, ne le nakup</w:t>
            </w:r>
          </w:p>
        </w:tc>
      </w:tr>
      <w:tr>
        <w:tc>
          <w:tcPr>
            <w:tcW w:type="dxa" w:w="21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Srebrna ekonomija (kot celota)</w:t>
            </w:r>
          </w:p>
        </w:tc>
        <w:tc>
          <w:tcPr>
            <w:tcW w:type="dxa" w:w="18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Visoka</w:t>
            </w:r>
          </w:p>
        </w:tc>
        <w:tc>
          <w:tcPr>
            <w:tcW w:type="dxa" w:w="13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Delna</w:t>
            </w:r>
          </w:p>
        </w:tc>
        <w:tc>
          <w:tcPr>
            <w:tcW w:type="dxa" w:w="1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Nizek</w:t>
            </w:r>
          </w:p>
        </w:tc>
        <w:tc>
          <w:tcPr>
            <w:tcW w:type="dxa" w:w="2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Preširok pojem za neposredno ukrepanje</w:t>
            </w:r>
          </w:p>
        </w:tc>
      </w:tr>
    </w:tbl>
    <w:p>
      <w:pPr>
        <w:pStyle w:val="Heading2"/>
        <w:spacing w:after="140" w:before="320"/>
      </w:pPr>
      <w:r>
        <w:rPr>
          <w:b/>
          <w:bCs/>
          <w:color w:val="146C74"/>
          <w:sz w:val="25"/>
          <w:szCs w:val="25"/>
        </w:rPr>
        <w:t xml:space="preserve">8.1 Kaj iz tabele izhaja</w:t>
      </w:r>
    </w:p>
    <w:p>
      <w:pPr>
        <w:pStyle w:val="ListParagraph"/>
        <w:numPr>
          <w:ilvl w:val="0"/>
          <w:numId w:val="1"/>
        </w:numPr>
        <w:spacing w:after="80" w:line="276"/>
      </w:pPr>
      <w:r>
        <w:rPr>
          <w:sz w:val="21"/>
          <w:szCs w:val="21"/>
        </w:rPr>
        <w:t xml:space="preserve">Dolgoživost je edino področje, kjer se visoka prednost regije in visok izvozni potencial srečata. To je logično izhodišče za osredotočenje.</w:t>
      </w:r>
    </w:p>
    <w:p>
      <w:pPr>
        <w:pStyle w:val="ListParagraph"/>
        <w:numPr>
          <w:ilvl w:val="0"/>
          <w:numId w:val="1"/>
        </w:numPr>
        <w:spacing w:after="80" w:line="276"/>
      </w:pPr>
      <w:r>
        <w:rPr>
          <w:sz w:val="21"/>
          <w:szCs w:val="21"/>
        </w:rPr>
        <w:t xml:space="preserve">Oskrba ima najbolj gotovo povpraševanje, a najnižjo primerjalno prednost in najdaljši odzivni čas. Ni razvojna priložnost v ožjem pomenu — je obveznost, ki jo je treba načrtovati zgodaj.</w:t>
      </w:r>
    </w:p>
    <w:p>
      <w:pPr>
        <w:pStyle w:val="ListParagraph"/>
        <w:numPr>
          <w:ilvl w:val="0"/>
          <w:numId w:val="1"/>
        </w:numPr>
        <w:spacing w:after="80" w:line="276"/>
      </w:pPr>
      <w:r>
        <w:rPr>
          <w:sz w:val="21"/>
          <w:szCs w:val="21"/>
        </w:rPr>
        <w:t xml:space="preserve">Odpornost in avtomatizacija sta predvsem pogoja za delovanje ostalih dveh, s postransko, a ne zanemarljivo izvozno vrednostjo v obliki metode.</w:t>
      </w:r>
    </w:p>
    <w:p>
      <w:pPr>
        <w:pStyle w:val="ListParagraph"/>
        <w:numPr>
          <w:ilvl w:val="0"/>
          <w:numId w:val="1"/>
        </w:numPr>
        <w:spacing w:after="80" w:line="276"/>
      </w:pPr>
      <w:r>
        <w:rPr>
          <w:sz w:val="21"/>
          <w:szCs w:val="21"/>
        </w:rPr>
        <w:t xml:space="preserve">Srebrna ekonomija kot celota je koristen komunikacijski okvir in slabo operativno vodilo.</w:t>
      </w:r>
    </w:p>
    <w:p>
      <w:pPr>
        <w:spacing w:after="120" w:line="288"/>
      </w:pPr>
      <w:r>
        <w:rPr>
          <w:b/>
          <w:bCs/>
          <w:color w:val="1553A0"/>
          <w:sz w:val="21"/>
          <w:szCs w:val="21"/>
        </w:rPr>
        <w:t xml:space="preserve">[INTERPRETACIJA] </w:t>
      </w:r>
      <w:r>
        <w:rPr>
          <w:sz w:val="21"/>
          <w:szCs w:val="21"/>
        </w:rPr>
        <w:t xml:space="preserve">Iz tega izhaja predlagana strateška poenostavitev: dolgoživost kot razvojna prioriteta, oskrba kot načrtovalska obveznost, odpornost in avtomatizacija kot podpora obema. Vse štiri se srečajo pri istem kadru — zdravstvenem, oskrbovalnem in tehničnem — kar pomeni, da je izobraževalna politika skupni imenovalec vseh.</w:t>
      </w:r>
    </w:p>
    <w:p>
      <w:r>
        <w:br w:type="page"/>
      </w:r>
    </w:p>
    <w:p>
      <w:pPr>
        <w:pStyle w:val="Heading1"/>
        <w:pBdr>
          <w:bottom w:val="single" w:color="0F3D3E" w:sz="8" w:space="4"/>
        </w:pBdr>
        <w:spacing w:after="200" w:before="480"/>
      </w:pPr>
      <w:r>
        <w:rPr>
          <w:b/>
          <w:bCs/>
          <w:color w:val="0F3D3E"/>
          <w:sz w:val="30"/>
          <w:szCs w:val="30"/>
        </w:rPr>
        <w:t xml:space="preserve">9. Kaj lahko Slovenska Istra dejansko naredi</w:t>
      </w:r>
    </w:p>
    <w:p>
      <w:pPr>
        <w:spacing w:after="140" w:line="288"/>
      </w:pPr>
      <w:r>
        <w:rPr>
          <w:sz w:val="21"/>
          <w:szCs w:val="21"/>
        </w:rPr>
        <w:t xml:space="preserve">Razvrstitev po izvedljivosti sledi isti logiki kot v Dokumentu 3: ukrepi so razvrščeni po zahtevnosti, ne po pomembnosti.</w:t>
      </w:r>
    </w:p>
    <w:p>
      <w:pPr>
        <w:pStyle w:val="Heading2"/>
        <w:spacing w:after="140" w:before="320"/>
      </w:pPr>
      <w:r>
        <w:rPr>
          <w:b/>
          <w:bCs/>
          <w:color w:val="146C74"/>
          <w:sz w:val="25"/>
          <w:szCs w:val="25"/>
        </w:rPr>
        <w:t xml:space="preserve">9.1 Izvedljivo takoj</w:t>
      </w:r>
    </w:p>
    <w:p>
      <w:pPr>
        <w:pStyle w:val="ListParagraph"/>
        <w:numPr>
          <w:ilvl w:val="0"/>
          <w:numId w:val="1"/>
        </w:numPr>
        <w:spacing w:after="80" w:line="276"/>
      </w:pPr>
      <w:r>
        <w:rPr>
          <w:sz w:val="21"/>
          <w:szCs w:val="21"/>
        </w:rPr>
        <w:t xml:space="preserve">Popis obstoječih ponudnikov v regiji na vseh petih področjih — kdo že danes izvaja rehabilitacijo, fizioterapijo, oskrbo na domu, energetske storitve, IT za javni sektor.</w:t>
      </w:r>
    </w:p>
    <w:p>
      <w:pPr>
        <w:pStyle w:val="ListParagraph"/>
        <w:numPr>
          <w:ilvl w:val="0"/>
          <w:numId w:val="1"/>
        </w:numPr>
        <w:spacing w:after="80" w:line="276"/>
      </w:pPr>
      <w:r>
        <w:rPr>
          <w:sz w:val="21"/>
          <w:szCs w:val="21"/>
        </w:rPr>
        <w:t xml:space="preserve">Pridobitev podatkov o kapacitetah in čakalnih dobah v oskrbi posebej za štiri občine.</w:t>
      </w:r>
    </w:p>
    <w:p>
      <w:pPr>
        <w:pStyle w:val="ListParagraph"/>
        <w:numPr>
          <w:ilvl w:val="0"/>
          <w:numId w:val="1"/>
        </w:numPr>
        <w:spacing w:after="80" w:line="276"/>
      </w:pPr>
      <w:r>
        <w:rPr>
          <w:sz w:val="21"/>
          <w:szCs w:val="21"/>
        </w:rPr>
        <w:t xml:space="preserve">Popis programov Univerze na Primorskem in srednjih šol, ki že izobražujejo za naštete poklice, in primerjava z ocenjeno prihodnjo potrebo.</w:t>
      </w:r>
    </w:p>
    <w:p>
      <w:pPr>
        <w:pStyle w:val="ListParagraph"/>
        <w:numPr>
          <w:ilvl w:val="0"/>
          <w:numId w:val="1"/>
        </w:numPr>
        <w:spacing w:after="80" w:line="276"/>
      </w:pPr>
      <w:r>
        <w:rPr>
          <w:sz w:val="21"/>
          <w:szCs w:val="21"/>
        </w:rPr>
        <w:t xml:space="preserve">Preverba, ali pri javnih naročilih za storitve odpornosti obstajajo lokalni ponudniki.</w:t>
      </w:r>
    </w:p>
    <w:p>
      <w:pPr>
        <w:pStyle w:val="Heading2"/>
        <w:spacing w:after="140" w:before="320"/>
      </w:pPr>
      <w:r>
        <w:rPr>
          <w:b/>
          <w:bCs/>
          <w:color w:val="146C74"/>
          <w:sz w:val="25"/>
          <w:szCs w:val="25"/>
        </w:rPr>
        <w:t xml:space="preserve">9.2 Izvedljivo v enem mandatu</w:t>
      </w:r>
    </w:p>
    <w:p>
      <w:pPr>
        <w:pStyle w:val="ListParagraph"/>
        <w:numPr>
          <w:ilvl w:val="0"/>
          <w:numId w:val="1"/>
        </w:numPr>
        <w:spacing w:after="80" w:line="276"/>
      </w:pPr>
      <w:r>
        <w:rPr>
          <w:sz w:val="21"/>
          <w:szCs w:val="21"/>
        </w:rPr>
        <w:t xml:space="preserve">Pilotni program dolgoživosti z medicinsko vsebino, razvit skupaj z zdravstvom, turističnim sektorjem in univerzo, z merjenjem deleža celoletnih zaposlitev.</w:t>
      </w:r>
    </w:p>
    <w:p>
      <w:pPr>
        <w:pStyle w:val="ListParagraph"/>
        <w:numPr>
          <w:ilvl w:val="0"/>
          <w:numId w:val="1"/>
        </w:numPr>
        <w:spacing w:after="80" w:line="276"/>
      </w:pPr>
      <w:r>
        <w:rPr>
          <w:sz w:val="21"/>
          <w:szCs w:val="21"/>
        </w:rPr>
        <w:t xml:space="preserve">Skupna kadrovska projekcija štirih občin za zdravstvene in oskrbovalne poklice do leta 2040.</w:t>
      </w:r>
    </w:p>
    <w:p>
      <w:pPr>
        <w:pStyle w:val="ListParagraph"/>
        <w:numPr>
          <w:ilvl w:val="0"/>
          <w:numId w:val="1"/>
        </w:numPr>
        <w:spacing w:after="80" w:line="276"/>
      </w:pPr>
      <w:r>
        <w:rPr>
          <w:sz w:val="21"/>
          <w:szCs w:val="21"/>
        </w:rPr>
        <w:t xml:space="preserve">Prvi moduli programa Poklici demografske prihodnosti v okviru IDP Akademije, v sodelovanju s srednjimi šolami.</w:t>
      </w:r>
    </w:p>
    <w:p>
      <w:pPr>
        <w:pStyle w:val="ListParagraph"/>
        <w:numPr>
          <w:ilvl w:val="0"/>
          <w:numId w:val="1"/>
        </w:numPr>
        <w:spacing w:after="80" w:line="276"/>
      </w:pPr>
      <w:r>
        <w:rPr>
          <w:sz w:val="21"/>
          <w:szCs w:val="21"/>
        </w:rPr>
        <w:t xml:space="preserve">Prenova enega ali dveh občinskih postopkov po vrstnem redu digitalizacija → optimizacija → avtomatizacija, kot dokaz koncepta.</w:t>
      </w:r>
    </w:p>
    <w:p>
      <w:pPr>
        <w:pStyle w:val="Heading2"/>
        <w:spacing w:after="140" w:before="320"/>
      </w:pPr>
      <w:r>
        <w:rPr>
          <w:b/>
          <w:bCs/>
          <w:color w:val="146C74"/>
          <w:sz w:val="25"/>
          <w:szCs w:val="25"/>
        </w:rPr>
        <w:t xml:space="preserve">9.3 Zahteva več kot en mandat</w:t>
      </w:r>
    </w:p>
    <w:p>
      <w:pPr>
        <w:pStyle w:val="ListParagraph"/>
        <w:numPr>
          <w:ilvl w:val="0"/>
          <w:numId w:val="1"/>
        </w:numPr>
        <w:spacing w:after="80" w:line="276"/>
      </w:pPr>
      <w:r>
        <w:rPr>
          <w:sz w:val="21"/>
          <w:szCs w:val="21"/>
        </w:rPr>
        <w:t xml:space="preserve">Razvoj prepoznavne ponudbe dolgoživosti v obsegu, ki gospodarsko šteje.</w:t>
      </w:r>
    </w:p>
    <w:p>
      <w:pPr>
        <w:pStyle w:val="ListParagraph"/>
        <w:numPr>
          <w:ilvl w:val="0"/>
          <w:numId w:val="1"/>
        </w:numPr>
        <w:spacing w:after="80" w:line="276"/>
      </w:pPr>
      <w:r>
        <w:rPr>
          <w:sz w:val="21"/>
          <w:szCs w:val="21"/>
        </w:rPr>
        <w:t xml:space="preserve">Zapolnitev kadrovske vrzeli v oskrbi prek izobraževalne verige.</w:t>
      </w:r>
    </w:p>
    <w:p>
      <w:pPr>
        <w:pStyle w:val="ListParagraph"/>
        <w:numPr>
          <w:ilvl w:val="0"/>
          <w:numId w:val="1"/>
        </w:numPr>
        <w:spacing w:after="80" w:line="276"/>
      </w:pPr>
      <w:r>
        <w:rPr>
          <w:sz w:val="21"/>
          <w:szCs w:val="21"/>
        </w:rPr>
        <w:t xml:space="preserve">Razvoj lokalnih ponudnikov tehnologij za oskrbo in odpornost.</w:t>
      </w:r>
    </w:p>
    <w:p>
      <w:pPr>
        <w:pStyle w:val="Heading2"/>
        <w:spacing w:after="140" w:before="320"/>
      </w:pPr>
      <w:r>
        <w:rPr>
          <w:b/>
          <w:bCs/>
          <w:color w:val="146C74"/>
          <w:sz w:val="25"/>
          <w:szCs w:val="25"/>
        </w:rPr>
        <w:t xml:space="preserve">9.4 Zaporedje, ki se zdi najbolj smiselno</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0"/>
      </w:tblGrid>
      <w:tr>
        <w:trPr>
          <w:cantSplit/>
        </w:trPr>
        <w:tc>
          <w:tcPr>
            <w:tcW w:type="dxa" w:w="9000"/>
            <w:tcBorders>
              <w:top w:val="single" w:color="8C6D31" w:sz="2"/>
              <w:left w:val="single" w:color="8C6D31" w:sz="12"/>
              <w:bottom w:val="single" w:color="8C6D31" w:sz="2"/>
              <w:right w:val="single" w:color="8C6D31" w:sz="2"/>
            </w:tcBorders>
            <w:shd w:fill="F7F3EA" w:val="clear"/>
            <w:tcMar>
              <w:top w:type="dxa" w:w="180"/>
              <w:left w:type="dxa" w:w="200"/>
              <w:bottom w:type="dxa" w:w="180"/>
              <w:right w:type="dxa" w:w="200"/>
            </w:tcMar>
          </w:tcPr>
          <w:p>
            <w:pPr>
              <w:spacing w:after="100"/>
            </w:pPr>
            <w:r>
              <w:rPr>
                <w:b/>
                <w:bCs/>
                <w:color w:val="0F3D3E"/>
                <w:sz w:val="22"/>
                <w:szCs w:val="22"/>
              </w:rPr>
              <w:t xml:space="preserve">Štirje koraki</w:t>
            </w:r>
          </w:p>
          <w:p>
            <w:pPr>
              <w:spacing w:after="80" w:line="280"/>
            </w:pPr>
            <w:r>
              <w:rPr>
                <w:sz w:val="20"/>
                <w:szCs w:val="20"/>
              </w:rPr>
              <w:t xml:space="preserve">1. Najprej izmeriti: kdo v regiji že kaj izvaja, kakšne so kapacitete in kje so vrzeli. Brez tega je vsaka strategija ugibanje.</w:t>
            </w:r>
          </w:p>
          <w:p>
            <w:pPr>
              <w:spacing w:after="80" w:line="280"/>
            </w:pPr>
            <w:r>
              <w:rPr>
                <w:sz w:val="20"/>
                <w:szCs w:val="20"/>
              </w:rPr>
              <w:t xml:space="preserve">2. Nato izobraževati: ker ima kader najdaljši odzivni čas, se odločitve o programih ne smejo čakati na dokončano strategijo.</w:t>
            </w:r>
          </w:p>
          <w:p>
            <w:pPr>
              <w:spacing w:after="80" w:line="280"/>
            </w:pPr>
            <w:r>
              <w:rPr>
                <w:sz w:val="20"/>
                <w:szCs w:val="20"/>
              </w:rPr>
              <w:t xml:space="preserve">3. Nato pilotirati: en program dolgoživosti in ena prenova postopka, oba z merjenjem od prvega dne.</w:t>
            </w:r>
          </w:p>
          <w:p>
            <w:pPr>
              <w:spacing w:after="80" w:line="280"/>
            </w:pPr>
            <w:r>
              <w:rPr>
                <w:sz w:val="20"/>
                <w:szCs w:val="20"/>
              </w:rPr>
              <w:t xml:space="preserve">4. Šele nato širiti: na podlagi izmerjenih rezultatov, ne pričakovanj.</w:t>
            </w:r>
          </w:p>
        </w:tc>
      </w:tr>
    </w:tbl>
    <w:p>
      <w:pPr>
        <w:spacing w:after="100"/>
      </w:pPr>
      <w:r>
        <w:rPr>
          <w:sz w:val="10"/>
          <w:szCs w:val="10"/>
        </w:rPr>
        <w:t xml:space="preserve"/>
      </w:r>
    </w:p>
    <w:p>
      <w:pPr>
        <w:spacing w:after="120" w:line="288"/>
      </w:pPr>
      <w:r>
        <w:rPr>
          <w:b/>
          <w:bCs/>
          <w:color w:val="7A2E8A"/>
          <w:sz w:val="21"/>
          <w:szCs w:val="21"/>
        </w:rPr>
        <w:t xml:space="preserve">[PREDLOG] </w:t>
      </w:r>
      <w:r>
        <w:rPr>
          <w:sz w:val="21"/>
          <w:szCs w:val="21"/>
        </w:rPr>
        <w:t xml:space="preserve">Vrstni red ni poljuben. Izobraževanje je namenoma pred pilotiranjem, ker izobraževalna veriga traja dlje od pilota — če bi ga uvrstili za pilot, bi kadri postali razpoložljivi šele nekaj let po tem, ko bi jih program potreboval.</w:t>
      </w:r>
    </w:p>
    <w:p>
      <w:r>
        <w:br w:type="page"/>
      </w:r>
    </w:p>
    <w:p>
      <w:pPr>
        <w:pStyle w:val="Heading1"/>
        <w:pBdr>
          <w:bottom w:val="single" w:color="0F3D3E" w:sz="8" w:space="4"/>
        </w:pBdr>
        <w:spacing w:after="200" w:before="480"/>
      </w:pPr>
      <w:r>
        <w:rPr>
          <w:b/>
          <w:bCs/>
          <w:color w:val="0F3D3E"/>
          <w:sz w:val="30"/>
          <w:szCs w:val="30"/>
        </w:rPr>
        <w:t xml:space="preserve">10. Tveganja in varovalke</w:t>
      </w:r>
    </w:p>
    <w:p>
      <w:pPr>
        <w:spacing w:after="140" w:line="288"/>
      </w:pPr>
      <w:r>
        <w:rPr>
          <w:sz w:val="21"/>
          <w:szCs w:val="21"/>
        </w:rPr>
        <w:t xml:space="preserve">Vsako od petih področij ima tveganja, ki jih je treba obravnavati vnaprej, ne po tem, ko se pokažejo.</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900"/>
        <w:gridCol w:w="3400"/>
        <w:gridCol w:w="3700"/>
      </w:tblGrid>
      <w:tr>
        <w:trPr>
          <w:tblHeader/>
        </w:trPr>
        <w:tc>
          <w:tcPr>
            <w:tcW w:type="dxa" w:w="19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Tveganje</w:t>
            </w:r>
          </w:p>
        </w:tc>
        <w:tc>
          <w:tcPr>
            <w:tcW w:type="dxa" w:w="34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Kako nastane</w:t>
            </w:r>
          </w:p>
        </w:tc>
        <w:tc>
          <w:tcPr>
            <w:tcW w:type="dxa" w:w="37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Varovalka</w:t>
            </w:r>
          </w:p>
        </w:tc>
      </w:tr>
      <w:tr>
        <w:tc>
          <w:tcPr>
            <w:tcW w:type="dxa" w:w="19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Izrinjanje mladih</w:t>
            </w:r>
          </w:p>
        </w:tc>
        <w:tc>
          <w:tcPr>
            <w:tcW w:type="dxa" w:w="3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Privabljanje premožnejših starejših dvigne cene stanovanj in zemljišč</w:t>
            </w:r>
          </w:p>
        </w:tc>
        <w:tc>
          <w:tcPr>
            <w:tcW w:type="dxa" w:w="37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Vsak predlog skozi demografski monokel; spremljanje cen stanovanj kot obveznega kazalnika</w:t>
            </w:r>
          </w:p>
        </w:tc>
      </w:tr>
      <w:tr>
        <w:tc>
          <w:tcPr>
            <w:tcW w:type="dxa" w:w="19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Obremenitev zdravstva</w:t>
            </w:r>
          </w:p>
        </w:tc>
        <w:tc>
          <w:tcPr>
            <w:tcW w:type="dxa" w:w="3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Priseljeni ali obiskovalci s poviševano potrebo po zdravstvenih storitvah</w:t>
            </w:r>
          </w:p>
        </w:tc>
        <w:tc>
          <w:tcPr>
            <w:tcW w:type="dxa" w:w="37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Predhodna ocena zdravstvenih kapacitet pri vsakem programu; jasno ločevanje javnih in zasebnih zmogljivosti</w:t>
            </w:r>
          </w:p>
        </w:tc>
      </w:tr>
      <w:tr>
        <w:tc>
          <w:tcPr>
            <w:tcW w:type="dxa" w:w="19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Sezonska past</w:t>
            </w:r>
          </w:p>
        </w:tc>
        <w:tc>
          <w:tcPr>
            <w:tcW w:type="dxa" w:w="3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Nova ponudba se prilepi na poletno konico namesto da bi jo razbremenila</w:t>
            </w:r>
          </w:p>
        </w:tc>
        <w:tc>
          <w:tcPr>
            <w:tcW w:type="dxa" w:w="37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Merjenje deleža celoletnih zaposlitev, ne le nočitev ali prihodkov</w:t>
            </w:r>
          </w:p>
        </w:tc>
      </w:tr>
      <w:tr>
        <w:tc>
          <w:tcPr>
            <w:tcW w:type="dxa" w:w="19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Kadrovsko kanibaliziranje</w:t>
            </w:r>
          </w:p>
        </w:tc>
        <w:tc>
          <w:tcPr>
            <w:tcW w:type="dxa" w:w="3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Nova zasebna ponudba prevzame kader javnemu zdravstvu in oskrbi</w:t>
            </w:r>
          </w:p>
        </w:tc>
        <w:tc>
          <w:tcPr>
            <w:tcW w:type="dxa" w:w="37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Kadrovska projekcija pred zagonom; spremljanje zaposlenih v javnem sistemu</w:t>
            </w:r>
          </w:p>
        </w:tc>
      </w:tr>
      <w:tr>
        <w:tc>
          <w:tcPr>
            <w:tcW w:type="dxa" w:w="19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Prazna strategija</w:t>
            </w:r>
          </w:p>
        </w:tc>
        <w:tc>
          <w:tcPr>
            <w:tcW w:type="dxa" w:w="3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Panoga se razglasi za prioriteto brez kupca, ponudnika in roka</w:t>
            </w:r>
          </w:p>
        </w:tc>
        <w:tc>
          <w:tcPr>
            <w:tcW w:type="dxa" w:w="37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Vsak projekt mora odgovoriti na sedem vprašanj iz 2. poglavja</w:t>
            </w:r>
          </w:p>
        </w:tc>
      </w:tr>
      <w:tr>
        <w:tc>
          <w:tcPr>
            <w:tcW w:type="dxa" w:w="19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Napačna številka</w:t>
            </w:r>
          </w:p>
        </w:tc>
        <w:tc>
          <w:tcPr>
            <w:tcW w:type="dxa" w:w="3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Ocene trgov se navajajo kot meritve</w:t>
            </w:r>
          </w:p>
        </w:tc>
        <w:tc>
          <w:tcPr>
            <w:tcW w:type="dxa" w:w="37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Dosledno označevanje projekcij; navedba leta izdelave ocene</w:t>
            </w:r>
          </w:p>
        </w:tc>
      </w:tr>
    </w:tbl>
    <w:p>
      <w:pPr>
        <w:spacing w:after="120" w:line="288"/>
      </w:pPr>
      <w:r>
        <w:rPr>
          <w:b/>
          <w:bCs/>
          <w:color w:val="1553A0"/>
          <w:sz w:val="21"/>
          <w:szCs w:val="21"/>
        </w:rPr>
        <w:t>[INTERPRETACIJA] Prvo tveganje je najpomembnejše in ga velja ponoviti. Obalno-kraška regija je imela leta 2024 najvišjo stopnjo tveganja revščine med statističnimi regijami (19,5 odstotka) ob hkrati visokih cenah stanovanj. Panoga, ki bi to razmerje poslabšala, bi bila demografsko škodljiva, tudi če bi bila gospodarsko uspešna — in prav to je razlika med gospodarsko in demografsko presojo.</w:t>
      </w:r>
      <w:r>
        <w:rPr>
          <w:sz w:val="21"/>
          <w:szCs w:val="21"/>
        </w:rPr>
      </w:r>
    </w:p>
    <w:p>
      <w:pPr>
        <w:spacing w:after="220"/>
      </w:pPr>
      <w:r>
        <w:rPr>
          <w:i/>
          <w:iCs/>
          <w:color w:val="595959"/>
          <w:sz w:val="18"/>
          <w:szCs w:val="18"/>
        </w:rPr>
        <w:t xml:space="preserve">Vir: SURS (2024)</w:t>
      </w:r>
    </w:p>
    <w:p>
      <w:r>
        <w:br w:type="page"/>
      </w:r>
    </w:p>
    <w:p>
      <w:pPr>
        <w:pStyle w:val="Heading1"/>
        <w:pBdr>
          <w:bottom w:val="single" w:color="0F3D3E" w:sz="8" w:space="4"/>
        </w:pBdr>
        <w:spacing w:after="200" w:before="480"/>
      </w:pPr>
      <w:r>
        <w:rPr>
          <w:b/>
          <w:bCs/>
          <w:color w:val="0F3D3E"/>
          <w:sz w:val="30"/>
          <w:szCs w:val="30"/>
        </w:rPr>
        <w:t xml:space="preserve">11. Vloga IDP: most in mlin, ne lastnik</w:t>
      </w:r>
    </w:p>
    <w:p>
      <w:pPr>
        <w:spacing w:after="140" w:line="288"/>
      </w:pPr>
      <w:r>
        <w:rPr>
          <w:sz w:val="21"/>
          <w:szCs w:val="21"/>
        </w:rPr>
        <w:t xml:space="preserve">Inštitut za demografsko prihodnost v nobenem od naštetih področij ne nastopa kot ponudnik storitev. Njegova predlagana vloga je povezovalna.</w:t>
      </w:r>
    </w:p>
    <w:p>
      <w:pPr>
        <w:pBdr>
          <w:left w:val="single" w:color="8C6D31" w:sz="16" w:space="8"/>
        </w:pBdr>
        <w:spacing w:after="200" w:before="100"/>
        <w:ind w:left="400"/>
      </w:pPr>
      <w:r>
        <w:rPr>
          <w:i/>
          <w:iCs/>
          <w:color w:val="0F3D3E"/>
          <w:sz w:val="21"/>
          <w:szCs w:val="21"/>
        </w:rPr>
        <w:t xml:space="preserve">Srebrne ekonomije ne želimo prisvojiti. Prepoznali smo jo kot neobhodno za našo prihodnost — naša vloga je biti most, povezovalec in mlin te ideje: kraj, kjer se srečajo ljudje in zamisli ter se zmeljejo v dejanja.</w:t>
      </w:r>
    </w:p>
    <w:p>
      <w:pPr>
        <w:spacing w:after="220"/>
      </w:pPr>
      <w:r>
        <w:rPr>
          <w:i/>
          <w:iCs/>
          <w:color w:val="595959"/>
          <w:sz w:val="18"/>
          <w:szCs w:val="18"/>
        </w:rPr>
        <w:t xml:space="preserve">Vir: IDP, interno strateško gradivo o srebrni ekonomiji (2026)</w:t>
      </w:r>
    </w:p>
    <w:p>
      <w:pPr>
        <w:spacing w:after="140" w:line="288"/>
      </w:pPr>
      <w:r>
        <w:rPr>
          <w:sz w:val="21"/>
          <w:szCs w:val="21"/>
        </w:rPr>
        <w:t xml:space="preserve">Model izhaja iz izkušnje francoskega grozda Silver Valley, kjer je panogo ustvaril povezovalec, ne nujno proizvajalec: povezal je startupe, velika podjetja, univerze, občine in skupnost starejših v en ekosistem.</w:t>
      </w:r>
    </w:p>
    <w:p>
      <w:pPr>
        <w:pStyle w:val="Heading2"/>
        <w:spacing w:after="140" w:before="320"/>
      </w:pPr>
      <w:r>
        <w:rPr>
          <w:b/>
          <w:bCs/>
          <w:color w:val="146C74"/>
          <w:sz w:val="25"/>
          <w:szCs w:val="25"/>
        </w:rPr>
        <w:t xml:space="preserve">11.1 Kaj IDP lahko prispeva</w:t>
      </w:r>
    </w:p>
    <w:p>
      <w:pPr>
        <w:pStyle w:val="ListParagraph"/>
        <w:numPr>
          <w:ilvl w:val="0"/>
          <w:numId w:val="1"/>
        </w:numPr>
        <w:spacing w:after="80" w:line="276"/>
      </w:pPr>
      <w:r>
        <w:rPr>
          <w:sz w:val="21"/>
          <w:szCs w:val="21"/>
        </w:rPr>
        <w:t xml:space="preserve">Nevtralnost: nestrankarska in neideološka drža omogoča sodelovanje z vsemi občinami, podjetji in političnimi opcijami hkrati.</w:t>
      </w:r>
    </w:p>
    <w:p>
      <w:pPr>
        <w:pStyle w:val="ListParagraph"/>
        <w:numPr>
          <w:ilvl w:val="0"/>
          <w:numId w:val="1"/>
        </w:numPr>
        <w:spacing w:after="80" w:line="276"/>
      </w:pPr>
      <w:r>
        <w:rPr>
          <w:sz w:val="21"/>
          <w:szCs w:val="21"/>
        </w:rPr>
        <w:t xml:space="preserve">Podatke: Demografski časovni stroj kot orodje, ki pokaže, kje in kdaj bo nastalo povpraševanje po posameznih storitvah.</w:t>
      </w:r>
    </w:p>
    <w:p>
      <w:pPr>
        <w:pStyle w:val="ListParagraph"/>
        <w:numPr>
          <w:ilvl w:val="0"/>
          <w:numId w:val="1"/>
        </w:numPr>
        <w:spacing w:after="80" w:line="276"/>
      </w:pPr>
      <w:r>
        <w:rPr>
          <w:sz w:val="21"/>
          <w:szCs w:val="21"/>
        </w:rPr>
        <w:t xml:space="preserve">Metodo: sedem vprašanj iz tega dokumenta, demografski monokel DM-2050 in trije testi odpornosti iz Dokumenta 3.</w:t>
      </w:r>
    </w:p>
    <w:p>
      <w:pPr>
        <w:pStyle w:val="ListParagraph"/>
        <w:numPr>
          <w:ilvl w:val="0"/>
          <w:numId w:val="1"/>
        </w:numPr>
        <w:spacing w:after="80" w:line="276"/>
      </w:pPr>
      <w:r>
        <w:rPr>
          <w:sz w:val="21"/>
          <w:szCs w:val="21"/>
        </w:rPr>
        <w:t xml:space="preserve">Povezavo: med štirimi občinami, univerzo, zdravstvom, gospodarstvom in šolami, ki danes o teh vprašanjih večinoma razmišljajo ločeno.</w:t>
      </w:r>
    </w:p>
    <w:p>
      <w:pPr>
        <w:pStyle w:val="Heading2"/>
        <w:spacing w:after="140" w:before="320"/>
      </w:pPr>
      <w:r>
        <w:rPr>
          <w:b/>
          <w:bCs/>
          <w:color w:val="146C74"/>
          <w:sz w:val="25"/>
          <w:szCs w:val="25"/>
        </w:rPr>
        <w:t xml:space="preserve">11.2 Česa IDP ne bi smel početi</w:t>
      </w:r>
    </w:p>
    <w:p>
      <w:pPr>
        <w:pStyle w:val="ListParagraph"/>
        <w:numPr>
          <w:ilvl w:val="0"/>
          <w:numId w:val="1"/>
        </w:numPr>
        <w:spacing w:after="80" w:line="276"/>
      </w:pPr>
      <w:r>
        <w:rPr>
          <w:sz w:val="21"/>
          <w:szCs w:val="21"/>
        </w:rPr>
        <w:t xml:space="preserve">Nastopati kot ponudnik storitev na trgih, ki jih sam analizira — to bi ogrozilo verodostojnost analize.</w:t>
      </w:r>
    </w:p>
    <w:p>
      <w:pPr>
        <w:pStyle w:val="ListParagraph"/>
        <w:numPr>
          <w:ilvl w:val="0"/>
          <w:numId w:val="1"/>
        </w:numPr>
        <w:spacing w:after="80" w:line="276"/>
      </w:pPr>
      <w:r>
        <w:rPr>
          <w:sz w:val="21"/>
          <w:szCs w:val="21"/>
        </w:rPr>
        <w:t xml:space="preserve">Navajati ocen trgov brez oznake, da gre za ocene, in brez leta izdelave.</w:t>
      </w:r>
    </w:p>
    <w:p>
      <w:pPr>
        <w:pStyle w:val="ListParagraph"/>
        <w:numPr>
          <w:ilvl w:val="0"/>
          <w:numId w:val="1"/>
        </w:numPr>
        <w:spacing w:after="80" w:line="276"/>
      </w:pPr>
      <w:r>
        <w:rPr>
          <w:sz w:val="21"/>
          <w:szCs w:val="21"/>
        </w:rPr>
        <w:t xml:space="preserve">Predstavljati panoge kot rešene, dokler ni znan kupec, ponudnik in rok.</w:t>
      </w:r>
    </w:p>
    <w:p>
      <w:pPr>
        <w:spacing w:after="120" w:line="288"/>
      </w:pPr>
      <w:r>
        <w:rPr>
          <w:b/>
          <w:bCs/>
          <w:color w:val="7A2E8A"/>
          <w:sz w:val="21"/>
          <w:szCs w:val="21"/>
        </w:rPr>
        <w:t xml:space="preserve">[PREDLOG] </w:t>
      </w:r>
      <w:r>
        <w:rPr>
          <w:sz w:val="21"/>
          <w:szCs w:val="21"/>
        </w:rPr>
        <w:t xml:space="preserve">Najbolj koristen prvi korak IDP na tem področju ni nova strategija, temveč popis stanja iz 9.1 — kdo v regiji danes že kaj izvaja. Ta podatek trenutno ne obstaja na enem mestu in je predpogoj za vse ostalo.</w:t>
      </w:r>
    </w:p>
    <w:p>
      <w:r>
        <w:br w:type="page"/>
      </w:r>
    </w:p>
    <w:p>
      <w:pPr>
        <w:pStyle w:val="Heading1"/>
        <w:pBdr>
          <w:bottom w:val="single" w:color="0F3D3E" w:sz="8" w:space="4"/>
        </w:pBdr>
        <w:spacing w:after="200" w:before="480"/>
      </w:pPr>
      <w:r>
        <w:rPr>
          <w:b/>
          <w:bCs/>
          <w:color w:val="0F3D3E"/>
          <w:sz w:val="30"/>
          <w:szCs w:val="30"/>
        </w:rPr>
        <w:t xml:space="preserve">12. Kako bomo vedeli, ali deluje</w:t>
      </w:r>
    </w:p>
    <w:p>
      <w:pPr>
        <w:spacing w:after="140" w:line="288"/>
      </w:pPr>
      <w:r>
        <w:rPr>
          <w:sz w:val="21"/>
          <w:szCs w:val="21"/>
        </w:rPr>
        <w:t xml:space="preserve">Predlogi brez kazalnikov ostanejo nepreverljivi. Naslednji nabor je namenoma kratek; širitev je smiselna šele, ko je osnovni nabor vzpostavljen.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800"/>
        <w:gridCol w:w="2900"/>
        <w:gridCol w:w="3300"/>
      </w:tblGrid>
      <w:tr>
        <w:trPr>
          <w:tblHeader/>
        </w:trPr>
        <w:tc>
          <w:tcPr>
            <w:tcW w:type="dxa" w:w="28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Kazalnik</w:t>
            </w:r>
          </w:p>
        </w:tc>
        <w:tc>
          <w:tcPr>
            <w:tcW w:type="dxa" w:w="29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Kaj meri</w:t>
            </w:r>
          </w:p>
        </w:tc>
        <w:tc>
          <w:tcPr>
            <w:tcW w:type="dxa" w:w="33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Zakaj prav ta</w:t>
            </w:r>
          </w:p>
        </w:tc>
      </w:tr>
      <w:tr>
        <w:tc>
          <w:tcPr>
            <w:tcW w:type="dxa" w:w="28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Delež celoletnih zaposlitev v turizmu in zdravstvenih storitvah</w:t>
            </w:r>
          </w:p>
        </w:tc>
        <w:tc>
          <w:tcPr>
            <w:tcW w:type="dxa" w:w="29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Ali nova ponudba zmanjšuje sezonskost</w:t>
            </w:r>
          </w:p>
        </w:tc>
        <w:tc>
          <w:tcPr>
            <w:tcW w:type="dxa" w:w="33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Sezonsko zaposlovanje je ovira za načrtovanje življenja v regiji</w:t>
            </w:r>
          </w:p>
        </w:tc>
      </w:tr>
      <w:tr>
        <w:tc>
          <w:tcPr>
            <w:tcW w:type="dxa" w:w="28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Število zaposlenih v oskrbi in zdravstvu v regiji</w:t>
            </w:r>
          </w:p>
        </w:tc>
        <w:tc>
          <w:tcPr>
            <w:tcW w:type="dxa" w:w="29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Ali se kadrovska vrzel zapira ali širi</w:t>
            </w:r>
          </w:p>
        </w:tc>
        <w:tc>
          <w:tcPr>
            <w:tcW w:type="dxa" w:w="33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Kader je glavna omejitev ekonomije oskrbe</w:t>
            </w:r>
          </w:p>
        </w:tc>
      </w:tr>
      <w:tr>
        <w:tc>
          <w:tcPr>
            <w:tcW w:type="dxa" w:w="28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Število vpisanih v programe za deficitarne poklice</w:t>
            </w:r>
          </w:p>
        </w:tc>
        <w:tc>
          <w:tcPr>
            <w:tcW w:type="dxa" w:w="29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Ali izobraževalna veriga sledi potrebi</w:t>
            </w:r>
          </w:p>
        </w:tc>
        <w:tc>
          <w:tcPr>
            <w:tcW w:type="dxa" w:w="33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Ima najdaljši odzivni čas — kazalnik mora biti zgodnji</w:t>
            </w:r>
          </w:p>
        </w:tc>
      </w:tr>
      <w:tr>
        <w:tc>
          <w:tcPr>
            <w:tcW w:type="dxa" w:w="28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Cene stanovanj in delež gospodinjstev nad pragom obremenitve</w:t>
            </w:r>
          </w:p>
        </w:tc>
        <w:tc>
          <w:tcPr>
            <w:tcW w:type="dxa" w:w="29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Ali razvoj izriva domače prebivalstvo</w:t>
            </w:r>
          </w:p>
        </w:tc>
        <w:tc>
          <w:tcPr>
            <w:tcW w:type="dxa" w:w="33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Glavno demografsko tveganje vseh petih področij</w:t>
            </w:r>
          </w:p>
        </w:tc>
      </w:tr>
      <w:tr>
        <w:tc>
          <w:tcPr>
            <w:tcW w:type="dxa" w:w="28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Delež javnih naročil za storitve odpornosti, oddanih lokalnim ponudnikom</w:t>
            </w:r>
          </w:p>
        </w:tc>
        <w:tc>
          <w:tcPr>
            <w:tcW w:type="dxa" w:w="29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Ali se ustvarja domača ponudba</w:t>
            </w:r>
          </w:p>
        </w:tc>
        <w:tc>
          <w:tcPr>
            <w:tcW w:type="dxa" w:w="33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Loči nakup rešitve od razvoja gospodarstva</w:t>
            </w:r>
          </w:p>
        </w:tc>
      </w:tr>
      <w:tr>
        <w:tc>
          <w:tcPr>
            <w:tcW w:type="dxa" w:w="28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Število podjetij in projektov na petih področjih</w:t>
            </w:r>
          </w:p>
        </w:tc>
        <w:tc>
          <w:tcPr>
            <w:tcW w:type="dxa" w:w="29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Ali ekosistem sploh nastaja</w:t>
            </w:r>
          </w:p>
        </w:tc>
        <w:tc>
          <w:tcPr>
            <w:tcW w:type="dxa" w:w="33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Osnovni kazalnik obstoja panoge</w:t>
            </w:r>
          </w:p>
        </w:tc>
      </w:tr>
    </w:tbl>
    <w:p>
      <w:pPr>
        <w:spacing w:after="120" w:line="288"/>
      </w:pPr>
      <w:r>
        <w:rPr>
          <w:b/>
          <w:bCs/>
          <w:color w:val="7A2E8A"/>
          <w:sz w:val="21"/>
          <w:szCs w:val="21"/>
        </w:rPr>
        <w:t xml:space="preserve">[PREDLOG] </w:t>
      </w:r>
      <w:r>
        <w:rPr>
          <w:sz w:val="21"/>
          <w:szCs w:val="21"/>
        </w:rPr>
        <w:t xml:space="preserve">Predlagamo, da se ti kazalniki spremljajo skupaj s kazalniki iz Dokumenta 1 in poročajo enkrat letno na javni seji, kot je predvideno v Istrskem dogovoru o demografski odpornosti 2050 (Dokument 2). Ločeno poročanje o gospodarskih in demografskih kazalnikih bi zgrešilo bistvo — prav njihovo razmerje je tisto, kar je treba spremljati.</w:t>
      </w:r>
    </w:p>
    <w:p>
      <w:r>
        <w:br w:type="page"/>
      </w:r>
    </w:p>
    <w:p>
      <w:pPr>
        <w:pStyle w:val="Heading1"/>
        <w:pBdr>
          <w:bottom w:val="single" w:color="0F3D3E" w:sz="8" w:space="4"/>
        </w:pBdr>
        <w:spacing w:after="200" w:before="480"/>
      </w:pPr>
      <w:r>
        <w:rPr>
          <w:b/>
          <w:bCs/>
          <w:color w:val="0F3D3E"/>
          <w:sz w:val="30"/>
          <w:szCs w:val="30"/>
        </w:rPr>
        <w:t xml:space="preserve">Zaključek zbirke: štirje dokumenti, eno vprašanje</w:t>
      </w:r>
    </w:p>
    <w:p>
      <w:pPr>
        <w:spacing w:after="140" w:line="288"/>
      </w:pPr>
      <w:r>
        <w:rPr>
          <w:sz w:val="21"/>
          <w:szCs w:val="21"/>
        </w:rPr>
        <w:t xml:space="preserve">Zbirka Slovenska Istra 2050 obsega štiri dokumente, ki so nastali iz istega izhodišča in odgovarjajo na štiri različna vprašanja.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400"/>
        <w:gridCol w:w="5600"/>
      </w:tblGrid>
      <w:tr>
        <w:trPr>
          <w:tblHeader/>
        </w:trPr>
        <w:tc>
          <w:tcPr>
            <w:tcW w:type="dxa" w:w="34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Dokument</w:t>
            </w:r>
          </w:p>
        </w:tc>
        <w:tc>
          <w:tcPr>
            <w:tcW w:type="dxa" w:w="5600"/>
            <w:shd w:fill="0F3D3E" w:val="clear"/>
            <w:tcMar>
              <w:top w:type="dxa" w:w="60"/>
              <w:left w:type="dxa" w:w="100"/>
              <w:bottom w:type="dxa" w:w="60"/>
              <w:right w:type="dxa" w:w="100"/>
            </w:tcMar>
            <w:vAlign w:val="center"/>
          </w:tcPr>
          <w:p>
            <w:pPr>
              <w:jc w:val="left"/>
            </w:pPr>
            <w:r>
              <w:rPr>
                <w:b/>
                <w:bCs/>
                <w:i w:val="false"/>
                <w:iCs w:val="false"/>
                <w:color w:val="FFFFFF"/>
                <w:sz w:val="19"/>
                <w:szCs w:val="19"/>
              </w:rPr>
              <w:t xml:space="preserve">Vprašanje, na katero odgovarja</w:t>
            </w:r>
          </w:p>
        </w:tc>
      </w:tr>
      <w:tr>
        <w:tc>
          <w:tcPr>
            <w:tcW w:type="dxa" w:w="3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1 — Demografski paradoks Slovenske Istre</w:t>
            </w:r>
          </w:p>
        </w:tc>
        <w:tc>
          <w:tcPr>
            <w:tcW w:type="dxa" w:w="5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Kakšno je dejansko demografsko stanje in česa še ne vemo?</w:t>
            </w:r>
          </w:p>
        </w:tc>
      </w:tr>
      <w:tr>
        <w:tc>
          <w:tcPr>
            <w:tcW w:type="dxa" w:w="3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2 — Mandat, ki odloča o letu 2050</w:t>
            </w:r>
          </w:p>
        </w:tc>
        <w:tc>
          <w:tcPr>
            <w:tcW w:type="dxa" w:w="5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Katere odločitve padejo v mandat 2026–2030 in kdo jih sprejema?</w:t>
            </w:r>
          </w:p>
        </w:tc>
      </w:tr>
      <w:tr>
        <w:tc>
          <w:tcPr>
            <w:tcW w:type="dxa" w:w="34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3 — Manj odvisni, ne zaprti</w:t>
            </w:r>
          </w:p>
        </w:tc>
        <w:tc>
          <w:tcPr>
            <w:tcW w:type="dxa" w:w="5600"/>
            <w:shd w:fill="FFFFFF"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Katere kritične odvisnosti je smiselno zmanjšati in v kakšnem vrstnem redu?</w:t>
            </w:r>
          </w:p>
        </w:tc>
      </w:tr>
      <w:tr>
        <w:tc>
          <w:tcPr>
            <w:tcW w:type="dxa" w:w="34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4 — Trgi, ki še nimajo ponudnika</w:t>
            </w:r>
          </w:p>
        </w:tc>
        <w:tc>
          <w:tcPr>
            <w:tcW w:type="dxa" w:w="5600"/>
            <w:shd w:fill="EFF4F3" w:val="clear"/>
            <w:tcMar>
              <w:top w:type="dxa" w:w="60"/>
              <w:left w:type="dxa" w:w="100"/>
              <w:bottom w:type="dxa" w:w="60"/>
              <w:right w:type="dxa" w:w="100"/>
            </w:tcMar>
            <w:vAlign w:val="center"/>
          </w:tcPr>
          <w:p>
            <w:pPr>
              <w:jc w:val="left"/>
            </w:pPr>
            <w:r>
              <w:rPr>
                <w:b w:val="false"/>
                <w:bCs w:val="false"/>
                <w:i w:val="false"/>
                <w:iCs w:val="false"/>
                <w:color w:val="000000"/>
                <w:sz w:val="19"/>
                <w:szCs w:val="19"/>
              </w:rPr>
              <w:t xml:space="preserve">Kje v teh spremembah nastaja povpraševanje in kaj je od tega realno?</w:t>
            </w:r>
          </w:p>
        </w:tc>
      </w:tr>
    </w:tbl>
    <w:p>
      <w:pPr>
        <w:pStyle w:val="Heading2"/>
        <w:spacing w:after="140" w:before="320"/>
      </w:pPr>
      <w:r>
        <w:rPr>
          <w:b/>
          <w:bCs/>
          <w:color w:val="146C74"/>
          <w:sz w:val="25"/>
          <w:szCs w:val="25"/>
        </w:rPr>
        <w:t xml:space="preserve">Skupna nit</w:t>
      </w:r>
    </w:p>
    <w:p>
      <w:pPr>
        <w:spacing w:after="140" w:line="288"/>
      </w:pPr>
      <w:r>
        <w:rPr>
          <w:sz w:val="21"/>
          <w:szCs w:val="21"/>
        </w:rPr>
        <w:t xml:space="preserve">Vsi štirje dokumenti se opirajo na isto metodološko pravilo: ločevanje dejstva od interpretacije, hipoteze in predloga, izrecno označevanje vrzeli v podatkih ter poglavje o lastnih omejitvah. Vsi štirje se končajo z istim vprašanjem.</w:t>
      </w:r>
    </w:p>
    <w:p>
      <w:pPr>
        <w:pBdr>
          <w:left w:val="single" w:color="8C6D31" w:sz="16" w:space="8"/>
        </w:pBdr>
        <w:spacing w:after="200" w:before="100"/>
        <w:ind w:left="400"/>
      </w:pPr>
      <w:r>
        <w:rPr>
          <w:i/>
          <w:iCs/>
          <w:color w:val="0F3D3E"/>
          <w:sz w:val="21"/>
          <w:szCs w:val="21"/>
        </w:rPr>
        <w:t xml:space="preserve">Prihodnosti ne moremo natančno napovedati. Lahko pa zmanjšamo svojo ranljivost nanjo.</w:t>
      </w:r>
    </w:p>
    <w:p>
      <w:pPr>
        <w:spacing w:after="140" w:line="288"/>
      </w:pPr>
      <w:r>
        <w:rPr>
          <w:sz w:val="21"/>
          <w:szCs w:val="21"/>
        </w:rPr>
        <w:t xml:space="preserve">Demografska odpornost pomeni, da lahko skupnost zagotavlja kakovostno življenje tudi takrat, ko ima več starejših, manj razpoložljive delovne sile in bolj nestabilno zunanje okolje.</w:t>
      </w:r>
    </w:p>
    <w:p>
      <w:pPr>
        <w:pBdr>
          <w:left w:val="single" w:color="8C6D31" w:sz="16" w:space="8"/>
        </w:pBdr>
        <w:spacing w:after="200" w:before="100"/>
        <w:ind w:left="400"/>
      </w:pPr>
      <w:r>
        <w:rPr>
          <w:i/>
          <w:iCs/>
          <w:color w:val="0F3D3E"/>
          <w:sz w:val="21"/>
          <w:szCs w:val="21"/>
        </w:rPr>
        <w:t xml:space="preserve">Ali današnje odločitve povečujejo ali zmanjšujejo sposobnost Slovenske Istre, da bo leta 2050 dobro okolje za otroke, družine, aktivne ljudi in starejše generacije?</w:t>
      </w:r>
    </w:p>
    <w:p>
      <w:r>
        <w:br w:type="page"/>
      </w:r>
    </w:p>
    <w:p>
      <w:pPr>
        <w:pStyle w:val="Heading1"/>
        <w:pBdr>
          <w:bottom w:val="single" w:color="0F3D3E" w:sz="8" w:space="4"/>
        </w:pBdr>
        <w:spacing w:after="200" w:before="480"/>
      </w:pPr>
      <w:r>
        <w:rPr>
          <w:b/>
          <w:bCs/>
          <w:color w:val="0F3D3E"/>
          <w:sz w:val="30"/>
          <w:szCs w:val="30"/>
        </w:rPr>
        <w:t xml:space="preserve">Priloga — Viri in omejitve</w:t>
      </w:r>
    </w:p>
    <w:p>
      <w:pPr>
        <w:pStyle w:val="Heading2"/>
        <w:spacing w:after="140" w:before="320"/>
      </w:pPr>
      <w:r>
        <w:rPr>
          <w:b/>
          <w:bCs/>
          <w:color w:val="146C74"/>
          <w:sz w:val="25"/>
          <w:szCs w:val="25"/>
        </w:rPr>
        <w:t xml:space="preserve">Kaj v tem dokumentu ni preverjeno</w:t>
      </w:r>
    </w:p>
    <w:p>
      <w:pPr>
        <w:pStyle w:val="ListParagraph"/>
        <w:numPr>
          <w:ilvl w:val="0"/>
          <w:numId w:val="1"/>
        </w:numPr>
        <w:spacing w:after="80" w:line="276"/>
      </w:pPr>
      <w:r>
        <w:rPr>
          <w:sz w:val="21"/>
          <w:szCs w:val="21"/>
        </w:rPr>
        <w:t xml:space="preserve">Velikost katerega koli od petih trgov posebej za Slovensko Istro ali Obalno-kraško regijo — takšnih ocen nismo našli in jih nismo izdelali.</w:t>
      </w:r>
    </w:p>
    <w:p>
      <w:pPr>
        <w:pStyle w:val="ListParagraph"/>
        <w:numPr>
          <w:ilvl w:val="0"/>
          <w:numId w:val="1"/>
        </w:numPr>
        <w:spacing w:after="80" w:line="276"/>
      </w:pPr>
      <w:r>
        <w:rPr>
          <w:sz w:val="21"/>
          <w:szCs w:val="21"/>
        </w:rPr>
        <w:t xml:space="preserve">Število mest v domovih starejših, čakalne dobe in obseg pomoči na domu posebej za štiri istrske občine.</w:t>
      </w:r>
    </w:p>
    <w:p>
      <w:pPr>
        <w:pStyle w:val="ListParagraph"/>
        <w:numPr>
          <w:ilvl w:val="0"/>
          <w:numId w:val="1"/>
        </w:numPr>
        <w:spacing w:after="80" w:line="276"/>
      </w:pPr>
      <w:r>
        <w:rPr>
          <w:sz w:val="21"/>
          <w:szCs w:val="21"/>
        </w:rPr>
        <w:t xml:space="preserve">Število in struktura obstoječih ponudnikov na petih obravnavanih področjih v regiji.</w:t>
      </w:r>
    </w:p>
    <w:p>
      <w:pPr>
        <w:pStyle w:val="ListParagraph"/>
        <w:numPr>
          <w:ilvl w:val="0"/>
          <w:numId w:val="1"/>
        </w:numPr>
        <w:spacing w:after="80" w:line="276"/>
      </w:pPr>
      <w:r>
        <w:rPr>
          <w:sz w:val="21"/>
          <w:szCs w:val="21"/>
        </w:rPr>
        <w:t xml:space="preserve">Podatki o obsegu zdraviliškega in zdravstvenega turizma v Sloveniji (nočitve, prihodki, delež tujih gostov) — Skupnost slovenskih naravnih zdravilišč teh podatkov javno ne objavlja na način, ki bi jih bilo mogoče neposredno navesti.</w:t>
      </w:r>
    </w:p>
    <w:p>
      <w:pPr>
        <w:pStyle w:val="ListParagraph"/>
        <w:numPr>
          <w:ilvl w:val="0"/>
          <w:numId w:val="1"/>
        </w:numPr>
        <w:spacing w:after="80" w:line="276"/>
      </w:pPr>
      <w:r>
        <w:rPr>
          <w:sz w:val="21"/>
          <w:szCs w:val="21"/>
        </w:rPr>
        <w:t xml:space="preserve">Ocene stroškov ali donosnosti katerega koli predlaganega ukrepa — dokument namenoma ne navaja zneskov.</w:t>
      </w:r>
    </w:p>
    <w:p>
      <w:pPr>
        <w:pStyle w:val="ListParagraph"/>
        <w:numPr>
          <w:ilvl w:val="0"/>
          <w:numId w:val="1"/>
        </w:numPr>
        <w:spacing w:after="80" w:line="276"/>
      </w:pPr>
      <w:r>
        <w:rPr>
          <w:sz w:val="21"/>
          <w:szCs w:val="21"/>
        </w:rPr>
        <w:t xml:space="preserve">Podrobne primerjalne analize politik Japonske, Južne Koreje, Singapurja, Danske, Nizozemske in Finske; navedene so kot smiselno nadaljnje branje, ne kot preverjena podlaga tega dokumenta.</w:t>
      </w:r>
    </w:p>
    <w:p>
      <w:pPr>
        <w:pStyle w:val="Heading2"/>
        <w:spacing w:after="140" w:before="320"/>
      </w:pPr>
      <w:r>
        <w:rPr>
          <w:b/>
          <w:bCs/>
          <w:color w:val="146C74"/>
          <w:sz w:val="25"/>
          <w:szCs w:val="25"/>
        </w:rPr>
        <w:t xml:space="preserve">Mednarodni viri</w:t>
      </w:r>
    </w:p>
    <w:p>
      <w:pPr>
        <w:pStyle w:val="ListParagraph"/>
        <w:numPr>
          <w:ilvl w:val="0"/>
          <w:numId w:val="1"/>
        </w:numPr>
        <w:spacing w:after="80" w:line="276"/>
      </w:pPr>
      <w:r>
        <w:rPr>
          <w:sz w:val="21"/>
          <w:szCs w:val="21"/>
        </w:rPr>
        <w:t xml:space="preserve">Mednarodni denarni sklad: World Economic Outlook, april 2025, poglavje 2 — The Rise of the Silver Economy: Global Implications of Population Aging.</w:t>
      </w:r>
    </w:p>
    <w:p>
      <w:pPr>
        <w:pStyle w:val="ListParagraph"/>
        <w:numPr>
          <w:ilvl w:val="0"/>
          <w:numId w:val="1"/>
        </w:numPr>
        <w:spacing w:after="80" w:line="276"/>
      </w:pPr>
      <w:r>
        <w:rPr>
          <w:sz w:val="21"/>
          <w:szCs w:val="21"/>
        </w:rPr>
        <w:t xml:space="preserve">Evropska komisija: Silver Economy Study (Technopolis / Oxford Economics) — ocena iz leta 2018 s projekcijo za leto 2025.</w:t>
      </w:r>
    </w:p>
    <w:p>
      <w:pPr>
        <w:pStyle w:val="ListParagraph"/>
        <w:numPr>
          <w:ilvl w:val="0"/>
          <w:numId w:val="1"/>
        </w:numPr>
        <w:spacing w:after="80" w:line="276"/>
      </w:pPr>
      <w:r>
        <w:rPr>
          <w:sz w:val="21"/>
          <w:szCs w:val="21"/>
        </w:rPr>
        <w:t xml:space="preserve">OECD: Employment Outlook 2025 — Navigating the golden years: Making the labour market work for older workers.</w:t>
      </w:r>
    </w:p>
    <w:p>
      <w:pPr>
        <w:pStyle w:val="Heading2"/>
        <w:spacing w:after="140" w:before="320"/>
      </w:pPr>
      <w:r>
        <w:rPr>
          <w:b/>
          <w:bCs/>
          <w:color w:val="146C74"/>
          <w:sz w:val="25"/>
          <w:szCs w:val="25"/>
        </w:rPr>
        <w:t xml:space="preserve">Nacionalni viri</w:t>
      </w:r>
    </w:p>
    <w:p>
      <w:pPr>
        <w:pStyle w:val="ListParagraph"/>
        <w:numPr>
          <w:ilvl w:val="0"/>
          <w:numId w:val="1"/>
        </w:numPr>
        <w:spacing w:after="80" w:line="276"/>
      </w:pPr>
      <w:r>
        <w:rPr>
          <w:sz w:val="21"/>
          <w:szCs w:val="21"/>
        </w:rPr>
        <w:t xml:space="preserve">Skupnost socialnih zavodov Slovenije: podatki o mreži domov za starejše in posebnih zavodov (konec leta 2024).</w:t>
      </w:r>
    </w:p>
    <w:p>
      <w:pPr>
        <w:pStyle w:val="ListParagraph"/>
        <w:numPr>
          <w:ilvl w:val="0"/>
          <w:numId w:val="1"/>
        </w:numPr>
        <w:spacing w:after="80" w:line="276"/>
      </w:pPr>
      <w:r>
        <w:rPr>
          <w:sz w:val="21"/>
          <w:szCs w:val="21"/>
        </w:rPr>
        <w:t xml:space="preserve">Uradni list RS: Zakon o dolgotrajni oskrbi (ZDOsk-1) in novela, sprejeta 12. junija 2025.</w:t>
      </w:r>
    </w:p>
    <w:p>
      <w:pPr>
        <w:pStyle w:val="ListParagraph"/>
        <w:numPr>
          <w:ilvl w:val="0"/>
          <w:numId w:val="1"/>
        </w:numPr>
        <w:spacing w:after="80" w:line="276"/>
      </w:pPr>
      <w:r>
        <w:rPr>
          <w:sz w:val="21"/>
          <w:szCs w:val="21"/>
        </w:rPr>
        <w:t xml:space="preserve">Zavod RS za zaposlovanje: Strokovna izhodišča za leto 2026 (november 2025).</w:t>
      </w:r>
    </w:p>
    <w:p>
      <w:pPr>
        <w:pStyle w:val="ListParagraph"/>
        <w:numPr>
          <w:ilvl w:val="0"/>
          <w:numId w:val="1"/>
        </w:numPr>
        <w:spacing w:after="80" w:line="276"/>
      </w:pPr>
      <w:r>
        <w:rPr>
          <w:sz w:val="21"/>
          <w:szCs w:val="21"/>
        </w:rPr>
        <w:t xml:space="preserve">SURS: statistika voda 2024; energetska statistika 2024; regijski podatki 2024.</w:t>
      </w:r>
    </w:p>
    <w:p>
      <w:pPr>
        <w:pStyle w:val="ListParagraph"/>
        <w:numPr>
          <w:ilvl w:val="0"/>
          <w:numId w:val="1"/>
        </w:numPr>
        <w:spacing w:after="80" w:line="276"/>
      </w:pPr>
      <w:r>
        <w:rPr>
          <w:sz w:val="21"/>
          <w:szCs w:val="21"/>
        </w:rPr>
        <w:t>Ministrstvo za okolje, podnebje in energijo, Portal Energetika: podatki o skupnostni samooskrbi (januar 2026).</w:t>
      </w:r>
    </w:p>
    <w:p>
      <w:pPr>
        <w:pStyle w:val="ListParagraph"/>
        <w:numPr>
          <w:ilvl w:val="0"/>
          <w:numId w:val="1"/>
        </w:numPr>
        <w:spacing w:after="80" w:line="276"/>
      </w:pPr>
      <w:r>
        <w:rPr>
          <w:sz w:val="21"/>
          <w:szCs w:val="21"/>
        </w:rPr>
        <w:t xml:space="preserve">Skupnost slovenskih naravnih zdravilišč: predstavitev članstva in naravnih zdravilnih dejavnikov.</w:t>
      </w:r>
    </w:p>
    <w:p>
      <w:pPr>
        <w:pStyle w:val="Heading2"/>
        <w:spacing w:after="140" w:before="320"/>
      </w:pPr>
      <w:r>
        <w:rPr>
          <w:b/>
          <w:bCs/>
          <w:color w:val="146C74"/>
          <w:sz w:val="25"/>
          <w:szCs w:val="25"/>
        </w:rPr>
        <w:t xml:space="preserve">Regionalni viri</w:t>
      </w:r>
    </w:p>
    <w:p>
      <w:pPr>
        <w:pStyle w:val="ListParagraph"/>
        <w:numPr>
          <w:ilvl w:val="0"/>
          <w:numId w:val="1"/>
        </w:numPr>
        <w:spacing w:after="80" w:line="276"/>
      </w:pPr>
      <w:r>
        <w:rPr>
          <w:sz w:val="21"/>
          <w:szCs w:val="21"/>
        </w:rPr>
        <w:t xml:space="preserve">Znanstveno-raziskovalno središče Koper: razvojne usmeritve Mestne občine Koper do leta 2050 (junij 2026).</w:t>
      </w:r>
    </w:p>
    <w:p>
      <w:pPr>
        <w:pStyle w:val="ListParagraph"/>
        <w:numPr>
          <w:ilvl w:val="0"/>
          <w:numId w:val="1"/>
        </w:numPr>
        <w:spacing w:after="80" w:line="276"/>
      </w:pPr>
      <w:r>
        <w:rPr>
          <w:sz w:val="21"/>
          <w:szCs w:val="21"/>
        </w:rPr>
        <w:t xml:space="preserve">Občina Izola: načrtovani dom starejših v Livadah.</w:t>
      </w:r>
    </w:p>
    <w:p>
      <w:pPr>
        <w:pStyle w:val="Heading2"/>
        <w:spacing w:after="140" w:before="320"/>
      </w:pPr>
      <w:r>
        <w:rPr>
          <w:b/>
          <w:bCs/>
          <w:color w:val="146C74"/>
          <w:sz w:val="25"/>
          <w:szCs w:val="25"/>
        </w:rPr>
        <w:t xml:space="preserve">Gradiva IDP</w:t>
      </w:r>
    </w:p>
    <w:p>
      <w:pPr>
        <w:pStyle w:val="ListParagraph"/>
        <w:numPr>
          <w:ilvl w:val="0"/>
          <w:numId w:val="1"/>
        </w:numPr>
        <w:spacing w:after="80" w:line="276"/>
      </w:pPr>
      <w:r>
        <w:rPr>
          <w:sz w:val="21"/>
          <w:szCs w:val="21"/>
        </w:rPr>
        <w:t xml:space="preserve">IDP: Demografski paradoks Slovenske Istre — Dokument 1 (avgust 2026).</w:t>
      </w:r>
    </w:p>
    <w:p>
      <w:pPr>
        <w:pStyle w:val="ListParagraph"/>
        <w:numPr>
          <w:ilvl w:val="0"/>
          <w:numId w:val="1"/>
        </w:numPr>
        <w:spacing w:after="80" w:line="276"/>
      </w:pPr>
      <w:r>
        <w:rPr>
          <w:sz w:val="21"/>
          <w:szCs w:val="21"/>
        </w:rPr>
        <w:t xml:space="preserve">IDP: Mandat, ki odloča o letu 2050 — Dokument 2 (avgust 2026).</w:t>
      </w:r>
    </w:p>
    <w:p>
      <w:pPr>
        <w:pStyle w:val="ListParagraph"/>
        <w:numPr>
          <w:ilvl w:val="0"/>
          <w:numId w:val="1"/>
        </w:numPr>
        <w:spacing w:after="80" w:line="276"/>
      </w:pPr>
      <w:r>
        <w:rPr>
          <w:sz w:val="21"/>
          <w:szCs w:val="21"/>
        </w:rPr>
        <w:t xml:space="preserve">IDP: Manj odvisni, ne zaprti — Dokument 3 (avgust 2026).</w:t>
      </w:r>
    </w:p>
    <w:p>
      <w:pPr>
        <w:pStyle w:val="ListParagraph"/>
        <w:numPr>
          <w:ilvl w:val="0"/>
          <w:numId w:val="1"/>
        </w:numPr>
        <w:spacing w:after="80" w:line="276"/>
      </w:pPr>
      <w:r>
        <w:rPr>
          <w:sz w:val="21"/>
          <w:szCs w:val="21"/>
        </w:rPr>
        <w:t xml:space="preserve">IDP: interno strateško gradivo o srebrni ekonomiji, model povezovalca (2026).</w:t>
      </w:r>
    </w:p>
    <w:p>
      <w:pPr>
        <w:pStyle w:val="ListParagraph"/>
        <w:numPr>
          <w:ilvl w:val="0"/>
          <w:numId w:val="1"/>
        </w:numPr>
        <w:spacing w:after="80" w:line="276"/>
      </w:pPr>
      <w:r>
        <w:rPr>
          <w:sz w:val="21"/>
          <w:szCs w:val="21"/>
        </w:rPr>
        <w:t xml:space="preserve">IDP: Izhodišče raziskave — Demografska prihodnost Slovenske Istre (21. avgust 2026).</w:t>
      </w:r>
    </w:p>
    <w:p>
      <w:pPr>
        <w:spacing w:after="100"/>
      </w:pPr>
      <w:r>
        <w:rPr>
          <w:sz w:val="10"/>
          <w:szCs w:val="10"/>
        </w:rPr>
        <w:t xml:space="preserve"/>
      </w:r>
    </w:p>
    <w:p>
      <w:pPr>
        <w:spacing w:after="140" w:line="288"/>
      </w:pPr>
      <w:r>
        <w:rPr>
          <w:sz w:val="21"/>
          <w:szCs w:val="21"/>
        </w:rPr>
        <w:t xml:space="preserve">Opomba o ocenah trgov: kjer navajamo oceno velikosti trga, navajamo tudi leto izdelave ocene in institucijo, ki jo je izdelala. Ocena, izdelana leta 2018 za leto 2025, ni meritev stanja v letu 2025. Pred nadaljnjo javno uporabo priporočamo preverbo najpomembnejših trditev v primarnem viru.</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C9C8" w:sz="4" w:space="4"/>
      </w:pBdr>
      <w:tabs>
        <w:tab w:val="right" w:pos="9026"/>
      </w:tabs>
    </w:pPr>
    <w:r>
      <w:rPr>
        <w:color w:val="595959"/>
        <w:sz w:val="16"/>
        <w:szCs w:val="16"/>
      </w:rPr>
      <w:t xml:space="preserve">IDP · NEO ARK 2035</w:t>
    </w:r>
    <w:r>
      <w:rPr>
        <w:color w:val="595959"/>
        <w:sz w:val="16"/>
        <w:szCs w:val="16"/>
      </w:rPr>
      <w:t xml:space="preserve">	Trgi, ki še nimajo ponudnika — Dokument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Žiga Sedevčič</dc:creator>
  <cp:lastModifiedBy>Inštitut za demografsko prihodnost Slovenije — inšpekcijski pregled</cp:lastModifiedBy>
  <cp:revision>1</cp:revision>
  <dcterms:created xsi:type="dcterms:W3CDTF">2026-08-24T07:24:14.766Z</dcterms:created>
  <dcterms:modified xsi:type="dcterms:W3CDTF">2026-08-24T07:24:14.788Z</dcterms:modified>
  <dc:title>Trgi ki se nimajo ponudnika - Dokument 4 (Ekonomske priloznosti)</dc:title>
  <dc:description>Neodvisni inšpekcijski pregled IDP, 27. avgust 2026</dc:description>
</cp:coreProperties>
</file>

<file path=docProps/custom.xml><?xml version="1.0" encoding="utf-8"?>
<Properties xmlns="http://schemas.openxmlformats.org/officeDocument/2006/custom-properties" xmlns:vt="http://schemas.openxmlformats.org/officeDocument/2006/docPropsVTypes"/>
</file>