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r>
        <w:rPr>
          <w:b/>
          <w:bCs/>
          <w:color w:val="8C6D31"/>
          <w:sz w:val="22"/>
          <w:szCs w:val="22"/>
        </w:rPr>
        <w:t>INŠTITUT ZA DEMOGRAFSKO PRIHODNOST SLOVENIJE</w:t>
      </w:r>
    </w:p>
    <w:p>
      <w:pPr>
        <w:spacing w:after="600"/>
      </w:pPr>
      <w:r>
        <w:rPr>
          <w:color w:val="595959"/>
          <w:sz w:val="18"/>
          <w:szCs w:val="18"/>
        </w:rPr>
        <w:t xml:space="preserve">NEO ARK 2035</w:t>
      </w:r>
    </w:p>
    <w:p>
      <w:pPr>
        <w:spacing w:after="120"/>
      </w:pPr>
      <w:r>
        <w:rPr>
          <w:b/>
          <w:bCs/>
          <w:color w:val="0F3D3E"/>
          <w:sz w:val="52"/>
          <w:szCs w:val="52"/>
        </w:rPr>
        <w:t xml:space="preserve">MANJ ODVISNI, NE ZAPRTI</w:t>
      </w:r>
    </w:p>
    <w:p>
      <w:pPr>
        <w:spacing w:after="100"/>
      </w:pPr>
      <w:r>
        <w:rPr>
          <w:i/>
          <w:iCs/>
          <w:color w:val="146C74"/>
          <w:sz w:val="26"/>
          <w:szCs w:val="26"/>
        </w:rPr>
        <w:t xml:space="preserve">Predlog: odporna in bolj samozadostna Slovenska Istra</w:t>
      </w:r>
    </w:p>
    <w:p>
      <w:pPr>
        <w:spacing w:after="100" w:before="200"/>
      </w:pPr>
      <w:r>
        <w:rPr>
          <w:i/>
          <w:iCs/>
          <w:color w:val="595959"/>
          <w:sz w:val="22"/>
          <w:szCs w:val="22"/>
        </w:rPr>
        <w:t xml:space="preserve">Hrana, energija, voda, bivanje, materiali, transport in podatki — od zmanjševanja odvisnosti do novih priložnosti</w:t>
      </w:r>
    </w:p>
    <w:p>
      <w:pPr>
        <w:spacing w:before="600"/>
      </w:pPr>
      <w:r>
        <w:rPr>
          <w:b/>
          <w:bCs/>
          <w:color w:val="8C6D31"/>
          <w:sz w:val="20"/>
          <w:szCs w:val="20"/>
        </w:rPr>
        <w:t xml:space="preserve">DOKUMENT 3 / 4 — PREDLOG</w:t>
      </w:r>
    </w:p>
    <w:p>
      <w:pPr>
        <w:spacing w:after="40"/>
      </w:pPr>
      <w:r>
        <w:rPr>
          <w:sz w:val="20"/>
          <w:szCs w:val="20"/>
        </w:rPr>
        <w:t xml:space="preserve">Sistemski predlog za štiri istrske občine in njihove partnerje</w:t>
      </w:r>
    </w:p>
    <w:p>
      <w:pPr>
        <w:spacing w:before="400"/>
      </w:pPr>
      <w:r>
        <w:rPr>
          <w:color w:val="595959"/>
          <w:sz w:val="19"/>
          <w:szCs w:val="19"/>
        </w:rPr>
        <w:t xml:space="preserve">Območje: Mestna občina Koper, Občina Izola, Občina Piran, Občina Ankaran</w:t>
      </w:r>
    </w:p>
    <w:p>
      <w:pPr>
        <w:spacing w:after="40"/>
      </w:pPr>
      <w:r>
        <w:rPr>
          <w:color w:val="595959"/>
          <w:sz w:val="19"/>
          <w:szCs w:val="19"/>
        </w:rPr>
        <w:t>Stanje pregleda podatkov: 27. avgust 2026 · Pregledana različica 1.1</w:t>
      </w:r>
    </w:p>
    <w:p/>
    <w:p>
      <w:r>
        <w:t>Pripravil: Žiga Sedevčič · Neodvisni podatkovni in uredniški pregled: IDP</w:t>
      </w:r>
    </w:p>
    <w:p>
      <w:r>
        <w:br w:type="page"/>
      </w:r>
    </w:p>
    <w:p>
      <w:pPr>
        <w:pStyle w:val="Heading1"/>
        <w:pBdr>
          <w:bottom w:val="single" w:color="0F3D3E" w:sz="8" w:space="4"/>
        </w:pBdr>
        <w:spacing w:after="200" w:before="480"/>
      </w:pPr>
      <w:r>
        <w:rPr>
          <w:b/>
          <w:bCs/>
          <w:color w:val="0F3D3E"/>
          <w:sz w:val="30"/>
          <w:szCs w:val="30"/>
        </w:rPr>
        <w:t xml:space="preserve">Uvod: kaj ta dokument predlaga in česa ne</w:t>
      </w:r>
    </w:p>
    <w:p>
      <w:pPr>
        <w:spacing w:after="140" w:line="288"/>
      </w:pPr>
      <w:r>
        <w:rPr>
          <w:sz w:val="21"/>
          <w:szCs w:val="21"/>
        </w:rPr>
        <w:t xml:space="preserve">Ta dokument je predlog, ne raziskava in ne politični komentar. Izhaja iz podatkov, zbranih v Dokumentu 1 iste zbirke, in iz koledarja odločitev, opisanega v Dokumentu 2. Njegovo vprašanje je preprosto: katere odvisnosti Slovenske Istre so dovolj kritične, da se jih splača zmanjšati, in kaj je pri tem realno izvedljivo.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Definicija, ki velja v celotnem dokumentu</w:t>
            </w:r>
          </w:p>
          <w:p>
            <w:pPr>
              <w:spacing w:after="80" w:line="280"/>
            </w:pPr>
            <w:r>
              <w:rPr>
                <w:sz w:val="20"/>
                <w:szCs w:val="20"/>
              </w:rPr>
              <w:t xml:space="preserve">Samozadostnost oziroma odpornost pomeni zmanjševanje kritične odvisnosti od enega samega zunanjega vira in povečevanje števila alternativ, ki skupnosti omogočajo normalno delovanje ob motnjah.</w:t>
            </w:r>
          </w:p>
          <w:p>
            <w:pPr>
              <w:spacing w:after="80" w:line="280"/>
            </w:pPr>
            <w:r>
              <w:rPr>
                <w:sz w:val="20"/>
                <w:szCs w:val="20"/>
              </w:rPr>
              <w:t xml:space="preserve">Cilj ni, da Slovenska Istra vse proizvaja sama. Cilj je, da pri strateških sistemih ni popolnoma odvisna od ene same zunanje dobave.</w:t>
            </w:r>
          </w:p>
          <w:p>
            <w:pPr>
              <w:spacing w:after="80" w:line="280"/>
            </w:pPr>
            <w:r>
              <w:rPr>
                <w:sz w:val="20"/>
                <w:szCs w:val="20"/>
              </w:rPr>
              <w:t xml:space="preserve">Odpornost ni izolacija. Odpornost je več alternativ.</w:t>
            </w:r>
          </w:p>
        </w:tc>
      </w:tr>
    </w:tbl>
    <w:p>
      <w:pPr>
        <w:spacing w:after="100"/>
      </w:pPr>
      <w:r>
        <w:rPr>
          <w:sz w:val="10"/>
          <w:szCs w:val="10"/>
        </w:rPr>
        <w:t xml:space="preserve"/>
      </w:r>
    </w:p>
    <w:p>
      <w:pPr>
        <w:pStyle w:val="Heading2"/>
        <w:spacing w:after="140" w:before="320"/>
      </w:pPr>
      <w:r>
        <w:rPr>
          <w:b/>
          <w:bCs/>
          <w:color w:val="146C74"/>
          <w:sz w:val="25"/>
          <w:szCs w:val="25"/>
        </w:rPr>
        <w:t xml:space="preserve">Česa v tem dokumentu namenoma ne trdimo</w:t>
      </w:r>
    </w:p>
    <w:p>
      <w:pPr>
        <w:spacing w:after="140" w:line="288"/>
      </w:pPr>
      <w:r>
        <w:rPr>
          <w:sz w:val="21"/>
          <w:szCs w:val="21"/>
        </w:rPr>
        <w:t xml:space="preserve">Predlogi za večjo samozadostnost pogosto slonijo na trditvi, ki je ni mogoče dokazati: da bo vse, kar prihaja iz tujine, nujno vedno dražje. Te trditve ne uporabljamo, ker ni utemeljena — uvožena hrana, energija ali material so pogosto cenejši od lokalno proizvedenih, in ta razlika se lahko ohrani tudi dolgoročno.</w:t>
      </w:r>
    </w:p>
    <w:p>
      <w:pPr>
        <w:pBdr>
          <w:left w:val="single" w:color="8C6D31" w:sz="16" w:space="8"/>
        </w:pBdr>
        <w:spacing w:after="200" w:before="100"/>
        <w:ind w:left="400"/>
      </w:pPr>
      <w:r>
        <w:rPr>
          <w:i/>
          <w:iCs/>
          <w:color w:val="0F3D3E"/>
          <w:sz w:val="21"/>
          <w:szCs w:val="21"/>
        </w:rPr>
        <w:t xml:space="preserve">Pri ključnih surovinah in storitvah obstaja dolgoročna možnost večje cenovne volatilnosti in dobavnih motenj. Lokalna proizvodnja, učinkovitejša raba in diverzifikacija lahko zmanjšajo izpostavljenost.</w:t>
      </w:r>
    </w:p>
    <w:p>
      <w:pPr>
        <w:spacing w:after="140" w:line="288"/>
      </w:pPr>
      <w:r>
        <w:rPr>
          <w:sz w:val="21"/>
          <w:szCs w:val="21"/>
        </w:rPr>
        <w:t xml:space="preserve">Razlika med tema dvema formulacijama ni jezikovna. Prva obljublja prihranek, ki ga ni mogoče zagotoviti. Druga obljublja zmanjšanje tveganja, kar je merljivo in obranljivo. Vsi predlogi v tem dokumentu so utemeljeni na drugi.</w:t>
      </w:r>
    </w:p>
    <w:p>
      <w:pPr>
        <w:pStyle w:val="Heading2"/>
        <w:spacing w:after="140" w:before="320"/>
      </w:pPr>
      <w:r>
        <w:rPr>
          <w:b/>
          <w:bCs/>
          <w:color w:val="146C74"/>
          <w:sz w:val="25"/>
          <w:szCs w:val="25"/>
        </w:rPr>
        <w:t xml:space="preserve">Opozorilo o ravni podatkov</w:t>
      </w:r>
    </w:p>
    <w:p>
      <w:pPr>
        <w:spacing w:after="120" w:line="288"/>
      </w:pPr>
      <w:r>
        <w:rPr>
          <w:b/>
          <w:bCs/>
          <w:color w:val="1553A0"/>
          <w:sz w:val="21"/>
          <w:szCs w:val="21"/>
        </w:rPr>
        <w:t xml:space="preserve">[INTERPRETACIJA] </w:t>
      </w:r>
      <w:r>
        <w:rPr>
          <w:sz w:val="21"/>
          <w:szCs w:val="21"/>
        </w:rPr>
        <w:t xml:space="preserve">Večina podatkov o samooskrbi s hrano, energetski odvisnosti in vodnih izgubah je na voljo na ravni Slovenije, ne na ravni štirih istrskih občin. Nacionalni podatek uporabljamo kot okvir za red velikosti in kot izhodišče za vprašanja, ne kot dokaz o stanju v Slovenski Istri. Kjer regionalni ali občinski podatek obstaja, ga izrecno navedemo; kjer ga ni, to povemo.</w:t>
      </w:r>
    </w:p>
    <w:p>
      <w:r>
        <w:br w:type="page"/>
      </w:r>
    </w:p>
    <w:p>
      <w:pPr>
        <w:pStyle w:val="Heading1"/>
        <w:pBdr>
          <w:bottom w:val="single" w:color="0F3D3E" w:sz="8" w:space="4"/>
        </w:pBdr>
        <w:spacing w:after="200" w:before="480"/>
      </w:pPr>
      <w:r>
        <w:rPr>
          <w:b/>
          <w:bCs/>
          <w:color w:val="0F3D3E"/>
          <w:sz w:val="30"/>
          <w:szCs w:val="30"/>
        </w:rPr>
        <w:t xml:space="preserve">1. Osnovna teza in metoda</w:t>
      </w:r>
    </w:p>
    <w:p>
      <w:pPr>
        <w:spacing w:after="200" w:line="300"/>
      </w:pPr>
      <w:r>
        <w:rPr>
          <w:color w:val="0F3D3E"/>
          <w:sz w:val="23"/>
          <w:szCs w:val="23"/>
        </w:rPr>
        <w:t xml:space="preserve">Globalna povezanost prinaša velike koristi. Popolna odvisnost od zunanjih dobav pa nas izpostavlja cenovnim, geopolitičnim, podnebnim in logističnim šokom.</w:t>
      </w:r>
    </w:p>
    <w:p>
      <w:pPr>
        <w:spacing w:after="140" w:line="288"/>
      </w:pPr>
      <w:r>
        <w:rPr>
          <w:sz w:val="21"/>
          <w:szCs w:val="21"/>
        </w:rPr>
        <w:t xml:space="preserve">Slovenska Istra je odprto, povezano in razmeroma majhno območje. Njena gospodarska moč izhaja prav iz povezanosti — pristanišče, turizem, bližina italijanskega in hrvaškega trga, dostop do evropskih trgov. Nič v tem dokumentu ne predlaga, da bi se tej povezanosti odpovedali.</w:t>
      </w:r>
    </w:p>
    <w:p>
      <w:pPr>
        <w:spacing w:after="140" w:line="288"/>
      </w:pPr>
      <w:r>
        <w:rPr>
          <w:sz w:val="21"/>
          <w:szCs w:val="21"/>
        </w:rPr>
        <w:t xml:space="preserve">Predlagamo nekaj drugega: da za vsak strateški sistem posebej pogledamo, kaj se zgodi, če ena sama dobavna pot odpove — in kje je smiselno vzpostaviti drugo možnost, preden jo potrebujemo.</w:t>
      </w:r>
    </w:p>
    <w:p>
      <w:pPr>
        <w:pStyle w:val="Heading2"/>
        <w:spacing w:after="140" w:before="320"/>
      </w:pPr>
      <w:r>
        <w:rPr>
          <w:b/>
          <w:bCs/>
          <w:color w:val="146C74"/>
          <w:sz w:val="25"/>
          <w:szCs w:val="25"/>
        </w:rPr>
        <w:t xml:space="preserve">1.1 Trije testi odpornosti</w:t>
      </w:r>
    </w:p>
    <w:p>
      <w:pPr>
        <w:spacing w:after="140" w:line="288"/>
      </w:pPr>
      <w:r>
        <w:rPr>
          <w:sz w:val="21"/>
          <w:szCs w:val="21"/>
        </w:rPr>
        <w:t xml:space="preserve">Da predlogi ne ostanejo na ravni želja, uvajamo tri preproste teste. Vsak predlog v tem dokumentu je bil skoznje presojen.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600"/>
        <w:gridCol w:w="3600"/>
        <w:gridCol w:w="3800"/>
      </w:tblGrid>
      <w:tr>
        <w:trPr>
          <w:tblHeader/>
        </w:trPr>
        <w:tc>
          <w:tcPr>
            <w:tcW w:type="dxa" w:w="1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Test</w:t>
            </w:r>
          </w:p>
        </w:tc>
        <w:tc>
          <w:tcPr>
            <w:tcW w:type="dxa" w:w="3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Vprašanje</w:t>
            </w:r>
          </w:p>
        </w:tc>
        <w:tc>
          <w:tcPr>
            <w:tcW w:type="dxa" w:w="38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Zakaj je pomemben</w:t>
            </w:r>
          </w:p>
        </w:tc>
      </w:tr>
      <w:tr>
        <w:tc>
          <w:tcPr>
            <w:tcW w:type="dxa" w:w="1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 Kritičnost</w:t>
            </w:r>
          </w:p>
        </w:tc>
        <w:tc>
          <w:tcPr>
            <w:tcW w:type="dxa" w:w="3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Kaj se zgodi, če vira ni tri dni, tri tedne ali tri mesece?</w:t>
            </w:r>
          </w:p>
        </w:tc>
        <w:tc>
          <w:tcPr>
            <w:tcW w:type="dxa" w:w="3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Loči nujno od neprijetnega. Voda odpove v urah, energija v dnevih, hrana v tednih.</w:t>
            </w:r>
          </w:p>
        </w:tc>
      </w:tr>
      <w:tr>
        <w:tc>
          <w:tcPr>
            <w:tcW w:type="dxa" w:w="1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 Nadomestljivost</w:t>
            </w:r>
          </w:p>
        </w:tc>
        <w:tc>
          <w:tcPr>
            <w:tcW w:type="dxa" w:w="3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Koliko alternativ obstaja in kako hitro jih je mogoče aktivirati?</w:t>
            </w:r>
          </w:p>
        </w:tc>
        <w:tc>
          <w:tcPr>
            <w:tcW w:type="dxa" w:w="38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Alternativa, ki jo je mogoče vzpostaviti šele v dveh letih, ob motnji ne pomaga.</w:t>
            </w:r>
          </w:p>
        </w:tc>
      </w:tr>
      <w:tr>
        <w:tc>
          <w:tcPr>
            <w:tcW w:type="dxa" w:w="1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 Čas okrevanja</w:t>
            </w:r>
          </w:p>
        </w:tc>
        <w:tc>
          <w:tcPr>
            <w:tcW w:type="dxa" w:w="3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Kako dolgo traja, da sistem po motnji spet normalno deluje?</w:t>
            </w:r>
          </w:p>
        </w:tc>
        <w:tc>
          <w:tcPr>
            <w:tcW w:type="dxa" w:w="3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Nekatere motnje so kratke, a imajo dolge posledice (npr. izguba pridelka, izguba kadra).</w:t>
            </w:r>
          </w:p>
        </w:tc>
      </w:tr>
    </w:tbl>
    <w:p>
      <w:pPr>
        <w:spacing w:after="120" w:line="288"/>
      </w:pPr>
      <w:r>
        <w:rPr>
          <w:b/>
          <w:bCs/>
          <w:color w:val="7A2E8A"/>
          <w:sz w:val="21"/>
          <w:szCs w:val="21"/>
        </w:rPr>
        <w:t xml:space="preserve">[PREDLOG] </w:t>
      </w:r>
      <w:r>
        <w:rPr>
          <w:sz w:val="21"/>
          <w:szCs w:val="21"/>
        </w:rPr>
        <w:t xml:space="preserve">Ta trije testi so namenjeni tudi občinskim upravam kot hitro orodje: pred vsako večjo investicijo v infrastrukturo je smiselno odgovoriti nanje pisno, v nekaj stavkih. Če odgovora na drugi test ni, projekt povečuje zmogljivost, ne pa odpornosti — to je legitimno, a je treba vedeti, katero od obeh kupujemo.</w:t>
      </w:r>
    </w:p>
    <w:p>
      <w:pPr>
        <w:pStyle w:val="Heading2"/>
        <w:spacing w:after="140" w:before="320"/>
      </w:pPr>
      <w:r>
        <w:rPr>
          <w:b/>
          <w:bCs/>
          <w:color w:val="146C74"/>
          <w:sz w:val="25"/>
          <w:szCs w:val="25"/>
        </w:rPr>
        <w:t xml:space="preserve">1.2 Kaj odpornost ni</w:t>
      </w:r>
    </w:p>
    <w:p>
      <w:pPr>
        <w:pStyle w:val="ListParagraph"/>
        <w:numPr>
          <w:ilvl w:val="0"/>
          <w:numId w:val="1"/>
        </w:numPr>
        <w:spacing w:after="80" w:line="276"/>
      </w:pPr>
      <w:r>
        <w:rPr>
          <w:sz w:val="21"/>
          <w:szCs w:val="21"/>
        </w:rPr>
        <w:t xml:space="preserve">Ni avtarkija. Slovenska Istra z okoli 92.000 prebivalci ne more in ne sme poskušati proizvesti vsega, kar porabi.</w:t>
      </w:r>
    </w:p>
    <w:p>
      <w:pPr>
        <w:pStyle w:val="ListParagraph"/>
        <w:numPr>
          <w:ilvl w:val="0"/>
          <w:numId w:val="1"/>
        </w:numPr>
        <w:spacing w:after="80" w:line="276"/>
      </w:pPr>
      <w:r>
        <w:rPr>
          <w:sz w:val="21"/>
          <w:szCs w:val="21"/>
        </w:rPr>
        <w:t xml:space="preserve">Ni zaloga. Skladiščenje je le eden od ukrepov in praviloma najdražji na enoto pridobljenega časa.</w:t>
      </w:r>
    </w:p>
    <w:p>
      <w:pPr>
        <w:pStyle w:val="ListParagraph"/>
        <w:numPr>
          <w:ilvl w:val="0"/>
          <w:numId w:val="1"/>
        </w:numPr>
        <w:spacing w:after="80" w:line="276"/>
      </w:pPr>
      <w:r>
        <w:rPr>
          <w:sz w:val="21"/>
          <w:szCs w:val="21"/>
        </w:rPr>
        <w:t xml:space="preserve">Ni nasprotovanje trgovini ali odprtosti. Regija, ki več izvaža, ima praviloma več sredstev za lastno odpornost.</w:t>
      </w:r>
    </w:p>
    <w:p>
      <w:pPr>
        <w:pStyle w:val="ListParagraph"/>
        <w:numPr>
          <w:ilvl w:val="0"/>
          <w:numId w:val="1"/>
        </w:numPr>
        <w:spacing w:after="80" w:line="276"/>
      </w:pPr>
      <w:r>
        <w:rPr>
          <w:sz w:val="21"/>
          <w:szCs w:val="21"/>
        </w:rPr>
        <w:t xml:space="preserve">Ni enkraten projekt. Odpornost je lastnost sistema, ki jo je treba vzdrževati, ne cilj, ki bi ga bilo mogoče doseči in odkljukati.</w:t>
      </w:r>
    </w:p>
    <w:p>
      <w:r>
        <w:br w:type="page"/>
      </w:r>
    </w:p>
    <w:p>
      <w:pPr>
        <w:pStyle w:val="Heading1"/>
        <w:pBdr>
          <w:bottom w:val="single" w:color="0F3D3E" w:sz="8" w:space="4"/>
        </w:pBdr>
        <w:spacing w:after="200" w:before="480"/>
      </w:pPr>
      <w:r>
        <w:rPr>
          <w:b/>
          <w:bCs/>
          <w:color w:val="0F3D3E"/>
          <w:sz w:val="30"/>
          <w:szCs w:val="30"/>
        </w:rPr>
        <w:t xml:space="preserve">2. Diagnoza: kje je Slovenska Istra izpostavljena</w:t>
      </w:r>
    </w:p>
    <w:p>
      <w:pPr>
        <w:spacing w:after="140" w:line="288"/>
      </w:pPr>
      <w:r>
        <w:rPr>
          <w:sz w:val="21"/>
          <w:szCs w:val="21"/>
        </w:rPr>
        <w:t xml:space="preserve">Naslednja tabela je presoja IDP na podlagi javno dostopnih podatkov, ne uradna ocena tveganj. Namenjena je razvrščanju prioritet, ne dokončni sodbi.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900"/>
        <w:gridCol w:w="2100"/>
        <w:gridCol w:w="3000"/>
        <w:gridCol w:w="2000"/>
      </w:tblGrid>
      <w:tr>
        <w:trPr>
          <w:tblHeader/>
        </w:trPr>
        <w:tc>
          <w:tcPr>
            <w:tcW w:type="dxa" w:w="19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Sistem</w:t>
            </w:r>
          </w:p>
        </w:tc>
        <w:tc>
          <w:tcPr>
            <w:tcW w:type="dxa" w:w="21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Kritičnost</w:t>
            </w:r>
          </w:p>
        </w:tc>
        <w:tc>
          <w:tcPr>
            <w:tcW w:type="dxa" w:w="30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Nadomestljivost danes</w:t>
            </w:r>
          </w:p>
        </w:tc>
        <w:tc>
          <w:tcPr>
            <w:tcW w:type="dxa" w:w="20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Ocena prednosti</w:t>
            </w:r>
          </w:p>
        </w:tc>
      </w:tr>
      <w:tr>
        <w:tc>
          <w:tcPr>
            <w:tcW w:type="dxa" w:w="1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Voda</w:t>
            </w:r>
          </w:p>
        </w:tc>
        <w:tc>
          <w:tcPr>
            <w:tcW w:type="dxa" w:w="21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Zelo visoka — odpove v urah</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Nizka: en prevladujoč sistem, omejeni viri</w:t>
            </w:r>
          </w:p>
        </w:tc>
        <w:tc>
          <w:tcPr>
            <w:tcW w:type="dxa" w:w="2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Najvišja</w:t>
            </w:r>
          </w:p>
        </w:tc>
      </w:tr>
      <w:tr>
        <w:tc>
          <w:tcPr>
            <w:tcW w:type="dxa" w:w="1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Energija (elektrika)</w:t>
            </w:r>
          </w:p>
        </w:tc>
        <w:tc>
          <w:tcPr>
            <w:tcW w:type="dxa" w:w="21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Visoka — odpove v dnevih</w:t>
            </w:r>
          </w:p>
        </w:tc>
        <w:tc>
          <w:tcPr>
            <w:tcW w:type="dxa" w:w="3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 omrežje je povezano, lokalne proizvodnje malo</w:t>
            </w:r>
          </w:p>
        </w:tc>
        <w:tc>
          <w:tcPr>
            <w:tcW w:type="dxa" w:w="2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Visoka</w:t>
            </w:r>
          </w:p>
        </w:tc>
      </w:tr>
      <w:tr>
        <w:tc>
          <w:tcPr>
            <w:tcW w:type="dxa" w:w="1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Hrana</w:t>
            </w:r>
          </w:p>
        </w:tc>
        <w:tc>
          <w:tcPr>
            <w:tcW w:type="dxa" w:w="21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 — odpove v tednih</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 uvoz deluje, lokalna pridelava omejena</w:t>
            </w:r>
          </w:p>
        </w:tc>
        <w:tc>
          <w:tcPr>
            <w:tcW w:type="dxa" w:w="2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w:t>
            </w:r>
          </w:p>
        </w:tc>
      </w:tr>
      <w:tr>
        <w:tc>
          <w:tcPr>
            <w:tcW w:type="dxa" w:w="1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Bivanje in gradnja</w:t>
            </w:r>
          </w:p>
        </w:tc>
        <w:tc>
          <w:tcPr>
            <w:tcW w:type="dxa" w:w="21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Nizka kratkoročno, visoka dolgoročno</w:t>
            </w:r>
          </w:p>
        </w:tc>
        <w:tc>
          <w:tcPr>
            <w:tcW w:type="dxa" w:w="3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Nizka: stavbni fond se obnavlja počasi</w:t>
            </w:r>
          </w:p>
        </w:tc>
        <w:tc>
          <w:tcPr>
            <w:tcW w:type="dxa" w:w="2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Visoka (zaradi trajnosti odločitev)</w:t>
            </w:r>
          </w:p>
        </w:tc>
      </w:tr>
      <w:tr>
        <w:tc>
          <w:tcPr>
            <w:tcW w:type="dxa" w:w="1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Materiali in odpadki</w:t>
            </w:r>
          </w:p>
        </w:tc>
        <w:tc>
          <w:tcPr>
            <w:tcW w:type="dxa" w:w="21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Nizka</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w:t>
            </w:r>
          </w:p>
        </w:tc>
        <w:tc>
          <w:tcPr>
            <w:tcW w:type="dxa" w:w="2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w:t>
            </w:r>
          </w:p>
        </w:tc>
      </w:tr>
      <w:tr>
        <w:tc>
          <w:tcPr>
            <w:tcW w:type="dxa" w:w="1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Transport in logistika</w:t>
            </w:r>
          </w:p>
        </w:tc>
        <w:tc>
          <w:tcPr>
            <w:tcW w:type="dxa" w:w="21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w:t>
            </w:r>
          </w:p>
        </w:tc>
        <w:tc>
          <w:tcPr>
            <w:tcW w:type="dxa" w:w="3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 cesta, železnica, morje</w:t>
            </w:r>
          </w:p>
        </w:tc>
        <w:tc>
          <w:tcPr>
            <w:tcW w:type="dxa" w:w="2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w:t>
            </w:r>
          </w:p>
        </w:tc>
      </w:tr>
      <w:tr>
        <w:tc>
          <w:tcPr>
            <w:tcW w:type="dxa" w:w="1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Digitalna infrastruktura</w:t>
            </w:r>
          </w:p>
        </w:tc>
        <w:tc>
          <w:tcPr>
            <w:tcW w:type="dxa" w:w="21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Visoka in narašča</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Nizka do srednja</w:t>
            </w:r>
          </w:p>
        </w:tc>
        <w:tc>
          <w:tcPr>
            <w:tcW w:type="dxa" w:w="2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Visoka</w:t>
            </w:r>
          </w:p>
        </w:tc>
      </w:tr>
    </w:tbl>
    <w:p>
      <w:pPr>
        <w:spacing w:after="120" w:line="288"/>
      </w:pPr>
      <w:r>
        <w:rPr>
          <w:b/>
          <w:bCs/>
          <w:color w:val="1553A0"/>
          <w:sz w:val="21"/>
          <w:szCs w:val="21"/>
        </w:rPr>
        <w:t xml:space="preserve">[INTERPRETACIJA] </w:t>
      </w:r>
      <w:r>
        <w:rPr>
          <w:sz w:val="21"/>
          <w:szCs w:val="21"/>
        </w:rPr>
        <w:t xml:space="preserve">Iz te razvrstitve izhaja vrstni red poglavij v nadaljevanju in predlog prioritet v 12. poglavju. Voda je na prvem mestu ne zato, ker bi bila politično najbolj vidna, temveč zato, ker ima najkrajši čas do posledice in najmanj alternativ.</w:t>
      </w:r>
    </w:p>
    <w:p>
      <w:r>
        <w:br w:type="page"/>
      </w:r>
    </w:p>
    <w:p>
      <w:pPr>
        <w:pStyle w:val="Heading1"/>
        <w:pBdr>
          <w:bottom w:val="single" w:color="0F3D3E" w:sz="8" w:space="4"/>
        </w:pBdr>
        <w:spacing w:after="200" w:before="480"/>
      </w:pPr>
      <w:r>
        <w:rPr>
          <w:b/>
          <w:bCs/>
          <w:color w:val="0F3D3E"/>
          <w:sz w:val="30"/>
          <w:szCs w:val="30"/>
        </w:rPr>
        <w:t xml:space="preserve">3. Hrana</w:t>
      </w:r>
    </w:p>
    <w:p>
      <w:pPr>
        <w:pStyle w:val="Heading2"/>
        <w:spacing w:after="140" w:before="320"/>
      </w:pPr>
      <w:r>
        <w:rPr>
          <w:b/>
          <w:bCs/>
          <w:color w:val="146C74"/>
          <w:sz w:val="25"/>
          <w:szCs w:val="25"/>
        </w:rPr>
        <w:t xml:space="preserve">3.1 Kje stoji Slovenija</w:t>
      </w:r>
    </w:p>
    <w:p>
      <w:pPr>
        <w:spacing w:after="120" w:line="288"/>
      </w:pPr>
      <w:r>
        <w:rPr>
          <w:b/>
          <w:bCs/>
          <w:color w:val="1B6E30"/>
          <w:sz w:val="21"/>
          <w:szCs w:val="21"/>
        </w:rPr>
        <w:t>[DEJSTVO] Stopnja samooskrbe Slovenije se močno razlikuje med skupinami kmetijskih proizvodov in leti. Pri nekaterih proizvodih lahko domača proizvodnja doseže ali preseže domačo porabo, medtem ko je samooskrba zlasti pri delu sadja, zelenjave in krompirja praviloma precej nižja. Zato enotna trditev, da Slovenija pri nobeni skupini ni stoodstotno samooskrbna, ni pravilna; za presojo je treba uporabiti posamezne bilance SURS po proizvodih in letih.</w:t>
      </w:r>
      <w:r>
        <w:rPr>
          <w:sz w:val="21"/>
          <w:szCs w:val="21"/>
        </w:rPr>
      </w:r>
    </w:p>
    <w:p>
      <w:pPr>
        <w:spacing w:after="220"/>
      </w:pPr>
      <w:r>
        <w:rPr>
          <w:i/>
          <w:iCs/>
          <w:color w:val="595959"/>
          <w:sz w:val="18"/>
          <w:szCs w:val="18"/>
        </w:rPr>
        <w:t xml:space="preserve">Vir: UMAR, Prehranska varnost in samooskrba: analiza tehnične učinkovitosti (2026), na podlagi podatkov SURS</w:t>
      </w:r>
    </w:p>
    <w:p>
      <w:pPr>
        <w:spacing w:after="120" w:line="288"/>
      </w:pPr>
      <w:r>
        <w:rPr>
          <w:b/>
          <w:bCs/>
          <w:color w:val="1B6E30"/>
          <w:sz w:val="21"/>
          <w:szCs w:val="21"/>
        </w:rPr>
        <w:t xml:space="preserve">[DEJSTVO] </w:t>
      </w:r>
      <w:r>
        <w:rPr>
          <w:sz w:val="21"/>
          <w:szCs w:val="21"/>
        </w:rPr>
        <w:t xml:space="preserve">Slovenija je med državami EU na repu po površini njiv na prebivalca: leta 2019 je bilo na voljo 964,1 kvadratnega metra obdelovalnih površin na prebivalca, medtem ko bi države v tem podnebnem pasu po oceni analize potrebovale 2.500 do 3.000 kvadratnih metrov. Skoraj 87 odstotkov površin leži na območjih z omejenimi dejavniki za kmetijstvo. Med letoma 2012 in 2022 je Slovenija izgubila skoraj 8.600 hektarjev kmetijskih zemljišč.</w:t>
      </w:r>
    </w:p>
    <w:p>
      <w:pPr>
        <w:spacing w:after="220"/>
      </w:pPr>
      <w:r>
        <w:rPr>
          <w:i/>
          <w:iCs/>
          <w:color w:val="595959"/>
          <w:sz w:val="18"/>
          <w:szCs w:val="18"/>
        </w:rPr>
        <w:t xml:space="preserve">Vir: UMAR (2026)</w:t>
      </w:r>
    </w:p>
    <w:p>
      <w:pPr>
        <w:spacing w:after="120" w:line="288"/>
      </w:pPr>
      <w:r>
        <w:rPr>
          <w:b/>
          <w:bCs/>
          <w:color w:val="1553A0"/>
          <w:sz w:val="21"/>
          <w:szCs w:val="21"/>
        </w:rPr>
        <w:t xml:space="preserve">[INTERPRETACIJA] </w:t>
      </w:r>
      <w:r>
        <w:rPr>
          <w:sz w:val="21"/>
          <w:szCs w:val="21"/>
        </w:rPr>
        <w:t xml:space="preserve">Ta kombinacija pomeni, da visoke stopnje samooskrbe s hrano na nacionalni ravni ni realno pričakovati, na ravni Slovenske Istre pa še toliko manj. To ni argument proti lokalni pridelavi. Je argument za to, da lokalno pridelavo usmerimo tja, kjer ima dejansko prednost, namesto da bi jo merili po deležu pokrite porabe.</w:t>
      </w:r>
    </w:p>
    <w:p>
      <w:pPr>
        <w:pStyle w:val="Heading2"/>
        <w:spacing w:after="140" w:before="320"/>
      </w:pPr>
      <w:r>
        <w:rPr>
          <w:b/>
          <w:bCs/>
          <w:color w:val="146C74"/>
          <w:sz w:val="25"/>
          <w:szCs w:val="25"/>
        </w:rPr>
        <w:t xml:space="preserve">3.2 Kaj to pomeni za Slovensko Istro</w:t>
      </w:r>
    </w:p>
    <w:p>
      <w:pPr>
        <w:spacing w:after="140" w:line="288"/>
      </w:pPr>
      <w:r>
        <w:rPr>
          <w:sz w:val="21"/>
          <w:szCs w:val="21"/>
        </w:rPr>
        <w:t>Analiza UMAR poudarja izboljšanje tehnične učinkovitosti kmetij kot enega ključnih načinov za povečanje samooskrbe — ta se je v obdobju 2015–2023 celo zmanjšala. Med strukturnimi slabostmi navaja majhne in razdrobljene posesti, staranje nosilcev kmetijske dejavnosti ter vrzel v upravljavskih in digitalnih veščinah.</w:t>
      </w:r>
    </w:p>
    <w:p>
      <w:pPr>
        <w:spacing w:after="120" w:line="288"/>
      </w:pPr>
      <w:r>
        <w:rPr>
          <w:b/>
          <w:bCs/>
          <w:color w:val="595959"/>
          <w:sz w:val="21"/>
          <w:szCs w:val="21"/>
        </w:rPr>
        <w:t xml:space="preserve">[PODATEK NI NA VOLJO] </w:t>
      </w:r>
      <w:r>
        <w:rPr>
          <w:sz w:val="21"/>
          <w:szCs w:val="21"/>
        </w:rPr>
        <w:t xml:space="preserve">Občinsko razčlenjenih podatkov o površinah pod oljčniki, vinogradi in zelenjadarsko pridelavo za Koper, Izolo, Piran in Ankaran v okviru tega pregleda nismo pridobili. Brez njih ni mogoče resno oceniti, koliko hrane Slovenska Istra dejansko pridela. To je prva naloga pred vsakim konkretnim prehranskim ciljem.</w:t>
      </w:r>
    </w:p>
    <w:p>
      <w:pPr>
        <w:pStyle w:val="Heading2"/>
        <w:spacing w:after="140" w:before="320"/>
      </w:pPr>
      <w:r>
        <w:rPr>
          <w:b/>
          <w:bCs/>
          <w:color w:val="146C74"/>
          <w:sz w:val="25"/>
          <w:szCs w:val="25"/>
        </w:rPr>
        <w:t xml:space="preserve">3.3 Predlagana usmeritev: ne količina, ampak vrednost in kontinuiteta</w:t>
      </w:r>
    </w:p>
    <w:p>
      <w:pPr>
        <w:spacing w:after="140" w:line="288"/>
      </w:pPr>
      <w:r>
        <w:rPr>
          <w:sz w:val="21"/>
          <w:szCs w:val="21"/>
        </w:rPr>
        <w:t xml:space="preserve">Za regijo z omejenimi površinami in visokim pritiskom na zemljišča predlagamo tri usmeritve, ki ne temeljijo na povečevanju obsega pridelave.</w:t>
      </w:r>
    </w:p>
    <w:p>
      <w:pPr>
        <w:pStyle w:val="Heading3"/>
        <w:spacing w:after="100" w:before="220"/>
      </w:pPr>
      <w:r>
        <w:rPr>
          <w:b/>
          <w:bCs/>
          <w:i/>
          <w:iCs/>
          <w:color w:val="8C6D31"/>
          <w:sz w:val="22"/>
          <w:szCs w:val="22"/>
        </w:rPr>
        <w:t xml:space="preserve">Prvič: zaščita zemljišč pred nepovratno spremembo</w:t>
      </w:r>
    </w:p>
    <w:p>
      <w:pPr>
        <w:spacing w:after="140" w:line="288"/>
      </w:pPr>
      <w:r>
        <w:rPr>
          <w:sz w:val="21"/>
          <w:szCs w:val="21"/>
        </w:rPr>
        <w:t xml:space="preserve">Kmetijsko zemljišče, ki je enkrat pozidano, se praktično ne vrne v pridelavo. Ker se prav zdaj pripravlja Regionalni prostorski plan Obalno-Kraške razvojne regije z rokom sprejema do 1. januarja 2028, je to edina odločitev iz tega poglavja, ki ima trd rok in je ni mogoče preložiti brez posledic.</w:t>
      </w:r>
    </w:p>
    <w:p>
      <w:pPr>
        <w:pStyle w:val="Heading3"/>
        <w:spacing w:after="100" w:before="220"/>
      </w:pPr>
      <w:r>
        <w:rPr>
          <w:b/>
          <w:bCs/>
          <w:i/>
          <w:iCs/>
          <w:color w:val="8C6D31"/>
          <w:sz w:val="22"/>
          <w:szCs w:val="22"/>
        </w:rPr>
        <w:t xml:space="preserve">Drugič: kratke verige do javnih ustanov</w:t>
      </w:r>
    </w:p>
    <w:p>
      <w:pPr>
        <w:spacing w:after="140" w:line="288"/>
      </w:pPr>
      <w:r>
        <w:rPr>
          <w:sz w:val="21"/>
          <w:szCs w:val="21"/>
        </w:rPr>
        <w:t xml:space="preserve">Šole, vrtci, bolnišnica in domovi starejših so odjemalci s predvidljivo, celoletno in javno naročeno porabo. Povezava lokalnih pridelovalcev s temi ustanovami ne poveča skupne pridelave, poveča pa njeno stabilnost — kar je za odpornost pomembnejše od obsega.</w:t>
      </w:r>
    </w:p>
    <w:p>
      <w:pPr>
        <w:pStyle w:val="Heading3"/>
        <w:spacing w:after="100" w:before="220"/>
      </w:pPr>
      <w:r>
        <w:rPr>
          <w:b/>
          <w:bCs/>
          <w:i/>
          <w:iCs/>
          <w:color w:val="8C6D31"/>
          <w:sz w:val="22"/>
          <w:szCs w:val="22"/>
        </w:rPr>
        <w:t xml:space="preserve">Tretjič: visoka dodana vrednost namesto obsega</w:t>
      </w:r>
    </w:p>
    <w:p>
      <w:pPr>
        <w:spacing w:after="140" w:line="288"/>
      </w:pPr>
      <w:r>
        <w:rPr>
          <w:sz w:val="21"/>
          <w:szCs w:val="21"/>
        </w:rPr>
        <w:t xml:space="preserve">Oljkarstvo, vinogradništvo in sadjarstvo Slovenske Istre ne bodo nikoli pokrili kalorične porabe regije. Lahko pa ustvarijo presežek vrednosti, ki je izvozljiv — to obravnavamo v 10. poglavju.</w:t>
      </w:r>
    </w:p>
    <w:p>
      <w:pPr>
        <w:spacing w:after="120" w:line="288"/>
      </w:pPr>
      <w:r>
        <w:rPr>
          <w:b/>
          <w:bCs/>
          <w:color w:val="7A2E8A"/>
          <w:sz w:val="21"/>
          <w:szCs w:val="21"/>
        </w:rPr>
        <w:t xml:space="preserve">[PREDLOG] </w:t>
      </w:r>
      <w:r>
        <w:rPr>
          <w:sz w:val="21"/>
          <w:szCs w:val="21"/>
        </w:rPr>
        <w:t xml:space="preserve">Predlagamo, da se prehranski cilj Slovenske Istre ne izrazi kot odstotek samooskrbe, ampak kot dva merljiva cilja: delež javno naročene prehrane v šolah, vrtcih in zavodih, ki prihaja od pridelovalcev iz regije, ter površina kmetijskih zemljišč, ki je v prostorskem planu zaščitena pred pozidavo. Oba je mogoče meriti letno in oba sta v občinski pristojnosti.</w:t>
      </w:r>
    </w:p>
    <w:p>
      <w:r>
        <w:br w:type="page"/>
      </w:r>
    </w:p>
    <w:p>
      <w:pPr>
        <w:pStyle w:val="Heading1"/>
        <w:pBdr>
          <w:bottom w:val="single" w:color="0F3D3E" w:sz="8" w:space="4"/>
        </w:pBdr>
        <w:spacing w:after="200" w:before="480"/>
      </w:pPr>
      <w:r>
        <w:rPr>
          <w:b/>
          <w:bCs/>
          <w:color w:val="0F3D3E"/>
          <w:sz w:val="30"/>
          <w:szCs w:val="30"/>
        </w:rPr>
        <w:t xml:space="preserve">4. Energija</w:t>
      </w:r>
    </w:p>
    <w:p>
      <w:pPr>
        <w:pStyle w:val="Heading2"/>
        <w:spacing w:after="140" w:before="320"/>
      </w:pPr>
      <w:r>
        <w:rPr>
          <w:b/>
          <w:bCs/>
          <w:color w:val="146C74"/>
          <w:sz w:val="25"/>
          <w:szCs w:val="25"/>
        </w:rPr>
        <w:t xml:space="preserve">4.1 Izhodišče: Slovenija</w:t>
      </w:r>
    </w:p>
    <w:p>
      <w:pPr>
        <w:spacing w:after="120" w:line="288"/>
      </w:pPr>
      <w:r>
        <w:rPr>
          <w:b/>
          <w:bCs/>
          <w:color w:val="1B6E30"/>
          <w:sz w:val="21"/>
          <w:szCs w:val="21"/>
        </w:rPr>
        <w:t xml:space="preserve">[DEJSTVO] </w:t>
      </w:r>
      <w:r>
        <w:rPr>
          <w:sz w:val="21"/>
          <w:szCs w:val="21"/>
        </w:rPr>
        <w:t xml:space="preserve">Energetska odvisnost Slovenije je leta 2024 znašala 44,5 odstotka, kar je 3 odstotne točke manj kot leta 2023 (47,5 odstotka). Domači viri so torej pokrili 55,5 odstotka potreb. Domača proizvodnja je znašala 140,7 PJ, od tega jedrska energija 45 odstotkov, obnovljivi viri z hidroenergijo 37 odstotkov in premog 17 odstotkov.</w:t>
      </w:r>
    </w:p>
    <w:p>
      <w:pPr>
        <w:spacing w:after="220"/>
      </w:pPr>
      <w:r>
        <w:rPr>
          <w:i/>
          <w:iCs/>
          <w:color w:val="595959"/>
          <w:sz w:val="18"/>
          <w:szCs w:val="18"/>
        </w:rPr>
        <w:t xml:space="preserve">Vir: SURS, Energetska statistika 2024 (objava 7. oktobra 2025), povzeto prek Portala Energetika</w:t>
      </w:r>
    </w:p>
    <w:p>
      <w:pPr>
        <w:spacing w:after="140" w:line="288"/>
      </w:pPr>
      <w:r>
        <w:rPr>
          <w:sz w:val="21"/>
          <w:szCs w:val="21"/>
        </w:rPr>
        <w:t xml:space="preserve">V končni rabi energije (196,5 PJ) je največji porabnik promet s 42 odstotki, sledita predelovalna industrija z gradbeništvom (24 odstotkov) in gospodinjstva (22 odstotkov). Po energentih prevladujejo naftni proizvodi s 47 odstotki, sledi električna energija s 23 odstotki.</w:t>
      </w:r>
    </w:p>
    <w:p>
      <w:pPr>
        <w:spacing w:after="120" w:line="288"/>
      </w:pPr>
      <w:r>
        <w:rPr>
          <w:b/>
          <w:bCs/>
          <w:color w:val="1553A0"/>
          <w:sz w:val="21"/>
          <w:szCs w:val="21"/>
        </w:rPr>
        <w:t xml:space="preserve">[INTERPRETACIJA] </w:t>
      </w:r>
      <w:r>
        <w:rPr>
          <w:sz w:val="21"/>
          <w:szCs w:val="21"/>
        </w:rPr>
        <w:t xml:space="preserve">Za občinsko politiko je pomembna podrobnost: v gospodinjstvih gre 58 odstotkov energije za ogrevanje in 16 odstotkov za ogrevanje sanitarne vode, le 2 odstotka za hlajenje. V regiji, kjer se število vročih dni po podnebnih projekcijah povečuje, se bo delež hlajenja verjetno povečeval — kar pomeni, da bo poletna konica porabe elektrike naraščala prav takrat, ko je turistična obremenitev največja.</w:t>
      </w:r>
    </w:p>
    <w:p>
      <w:pPr>
        <w:pStyle w:val="Heading2"/>
        <w:spacing w:after="140" w:before="320"/>
      </w:pPr>
      <w:r>
        <w:rPr>
          <w:b/>
          <w:bCs/>
          <w:color w:val="146C74"/>
          <w:sz w:val="25"/>
          <w:szCs w:val="25"/>
        </w:rPr>
        <w:t xml:space="preserve">4.2 Kaj se v Sloveniji dejansko dogaja s skupnostno energijo</w:t>
      </w:r>
    </w:p>
    <w:p>
      <w:pPr>
        <w:spacing w:after="120" w:line="288"/>
      </w:pPr>
      <w:r>
        <w:rPr>
          <w:b/>
          <w:bCs/>
          <w:color w:val="1B6E30"/>
          <w:sz w:val="21"/>
          <w:szCs w:val="21"/>
        </w:rPr>
        <w:t xml:space="preserve">[DEJSTVO] </w:t>
      </w:r>
      <w:r>
        <w:rPr>
          <w:sz w:val="21"/>
          <w:szCs w:val="21"/>
        </w:rPr>
        <w:t xml:space="preserve">Skupna nameščena moč sončnih elektrarn v Sloveniji je konec leta 2025 dosegla 1.571 MW, kar je več kot trikratnik stanja iz leta 2021. V letu 2025 je bilo vloženih 4.439 vlog za priključitev samooskrbnih naprav, kar je četrtino več kot leto prej. Skupnostna samooskrba je obsegala več kot 500 projektov s skupno močjo 36 MW in se približno podvoji vsako leto.</w:t>
      </w:r>
    </w:p>
    <w:p>
      <w:pPr>
        <w:spacing w:after="220"/>
      </w:pPr>
      <w:r>
        <w:rPr>
          <w:i/>
          <w:iCs/>
          <w:color w:val="595959"/>
          <w:sz w:val="18"/>
          <w:szCs w:val="18"/>
        </w:rPr>
        <w:t>Vir: Ministrstvo za okolje, podnebje in energijo, Portal Energetika (30. januar 2026)</w:t>
      </w:r>
    </w:p>
    <w:p>
      <w:pPr>
        <w:spacing w:after="120" w:line="288"/>
      </w:pPr>
      <w:r>
        <w:rPr>
          <w:b/>
          <w:bCs/>
          <w:color w:val="1553A0"/>
          <w:sz w:val="21"/>
          <w:szCs w:val="21"/>
        </w:rPr>
        <w:t xml:space="preserve">[INTERPRETACIJA] </w:t>
      </w:r>
      <w:r>
        <w:rPr>
          <w:sz w:val="21"/>
          <w:szCs w:val="21"/>
        </w:rPr>
        <w:t xml:space="preserve">Podatek o podvajanju skupnostne samooskrbe vsako leto je za ta predlog ključen: pravni in tehnični okvir očitno deluje in ga ni treba izumljati. Vprašanje za Slovensko Istro torej ni, ali je energetska skupnost izvedljiva, temveč zakaj je regija pri tem trendu ni bolj izkoristila.</w:t>
      </w:r>
    </w:p>
    <w:p>
      <w:pPr>
        <w:pStyle w:val="Heading2"/>
        <w:spacing w:after="140" w:before="320"/>
      </w:pPr>
      <w:r>
        <w:rPr>
          <w:b/>
          <w:bCs/>
          <w:color w:val="146C74"/>
          <w:sz w:val="25"/>
          <w:szCs w:val="25"/>
        </w:rPr>
        <w:t xml:space="preserve">4.3 Predlog: Istrska energetska skupnost</w:t>
      </w:r>
    </w:p>
    <w:p>
      <w:pPr>
        <w:spacing w:after="140" w:line="288"/>
      </w:pPr>
      <w:r>
        <w:rPr>
          <w:sz w:val="21"/>
          <w:szCs w:val="21"/>
        </w:rPr>
        <w:t>Zakonski okvir za energetske skupnosti v Sloveniji obstaja od leta 2024 (Energetski zakon (EZ-2, Uradni list RS 38/24) in Zakon o oskrbi z električno energijo). Predlagamo, da štiri občine skupaj z zainteresiranimi partnerji preučijo vzpostavitev regionalne energetske skupnosti.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Zakaj je regionalna energetska skupnost smiselnejša od štirih občinskih</w:t>
            </w:r>
          </w:p>
          <w:p>
            <w:pPr>
              <w:spacing w:after="80" w:line="280"/>
            </w:pPr>
            <w:r>
              <w:rPr>
                <w:sz w:val="20"/>
                <w:szCs w:val="20"/>
              </w:rPr>
              <w:t xml:space="preserve">Raznolikost porabe: hotel, šola, bolnišnica, dom starejših in gospodinjstvo imajo različne dnevne in letne profile porabe. Čim bolj raznolika je skupnost, tem bolje se proizvodnja in poraba ujameta brez shranjevanja.</w:t>
            </w:r>
          </w:p>
          <w:p>
            <w:pPr>
              <w:spacing w:after="80" w:line="280"/>
            </w:pPr>
            <w:r>
              <w:rPr>
                <w:sz w:val="20"/>
                <w:szCs w:val="20"/>
              </w:rPr>
              <w:t xml:space="preserve">Sezonskost: turistična poraba v Slovenski Istri poleti močno naraste, prav takrat pa je proizvodnja sončnih elektrarn največja. To je za energetsko skupnost ugodno naključje, ki ga posamezna majhna občina težje izkoristi.</w:t>
            </w:r>
          </w:p>
          <w:p>
            <w:pPr>
              <w:spacing w:after="80" w:line="280"/>
            </w:pPr>
            <w:r>
              <w:rPr>
                <w:sz w:val="20"/>
                <w:szCs w:val="20"/>
              </w:rPr>
              <w:t xml:space="preserve">Velikost: naložbe v hranilnike in upravljanje porabe imajo minimalno smiselno velikost, ki jo Ankaran s približno 3.400 prebivalci sam težko doseže.</w:t>
            </w:r>
          </w:p>
        </w:tc>
      </w:tr>
    </w:tbl>
    <w:p>
      <w:pPr>
        <w:spacing w:after="100"/>
      </w:pPr>
      <w:r>
        <w:rPr>
          <w:sz w:val="10"/>
          <w:szCs w:val="10"/>
        </w:rPr>
        <w:t xml:space="preserve"/>
      </w:r>
    </w:p>
    <w:p>
      <w:pPr>
        <w:pStyle w:val="ListParagraph"/>
        <w:numPr>
          <w:ilvl w:val="0"/>
          <w:numId w:val="1"/>
        </w:numPr>
        <w:spacing w:after="80" w:line="276"/>
      </w:pPr>
      <w:r>
        <w:rPr>
          <w:sz w:val="21"/>
          <w:szCs w:val="21"/>
        </w:rPr>
        <w:t xml:space="preserve">Prvi korak: popis streh in degradiranih površin v lasti štirih občin, primernih za sončne elektrarne. To je poceni, hitro in ne zahteva politične odločitve.</w:t>
      </w:r>
    </w:p>
    <w:p>
      <w:pPr>
        <w:pStyle w:val="ListParagraph"/>
        <w:numPr>
          <w:ilvl w:val="0"/>
          <w:numId w:val="1"/>
        </w:numPr>
        <w:spacing w:after="80" w:line="276"/>
      </w:pPr>
      <w:r>
        <w:rPr>
          <w:sz w:val="21"/>
          <w:szCs w:val="21"/>
        </w:rPr>
        <w:t xml:space="preserve">Drugi korak: pilotna skupnost na javnih stavbah (šole, vrtci, upravne stavbe, športni objekti) pred širitvijo na gospodinjstva.</w:t>
      </w:r>
    </w:p>
    <w:p>
      <w:pPr>
        <w:pStyle w:val="ListParagraph"/>
        <w:numPr>
          <w:ilvl w:val="0"/>
          <w:numId w:val="1"/>
        </w:numPr>
        <w:spacing w:after="80" w:line="276"/>
      </w:pPr>
      <w:r>
        <w:rPr>
          <w:sz w:val="21"/>
          <w:szCs w:val="21"/>
        </w:rPr>
        <w:t xml:space="preserve">Tretji korak: preučitev hranilnikov in upravljanja porabe, ko je skupnost dovolj velika.</w:t>
      </w:r>
    </w:p>
    <w:p>
      <w:pPr>
        <w:pStyle w:val="ListParagraph"/>
        <w:numPr>
          <w:ilvl w:val="0"/>
          <w:numId w:val="1"/>
        </w:numPr>
        <w:spacing w:after="80" w:line="276"/>
      </w:pPr>
      <w:r>
        <w:rPr>
          <w:sz w:val="21"/>
          <w:szCs w:val="21"/>
        </w:rPr>
        <w:t xml:space="preserve">Vzporedno raziskati: odpadno toploto, toplotne črpalke, bioplin, geotermijo in energijo morja — vsak od teh virov zahteva ločeno strokovno presojo, ki presega obseg tega dokumenta.</w:t>
      </w:r>
    </w:p>
    <w:p>
      <w:pPr>
        <w:spacing w:after="120" w:line="288"/>
      </w:pPr>
      <w:r>
        <w:rPr>
          <w:b/>
          <w:bCs/>
          <w:color w:val="7A2E8A"/>
          <w:sz w:val="21"/>
          <w:szCs w:val="21"/>
        </w:rPr>
        <w:t xml:space="preserve">[PREDLOG] </w:t>
      </w:r>
      <w:r>
        <w:rPr>
          <w:sz w:val="21"/>
          <w:szCs w:val="21"/>
        </w:rPr>
        <w:t xml:space="preserve">Ne trdimo, da bo lokalno proizvedena energija cenejša od omrežne. Trdimo, da regija z lastno proizvodnjo, hranilniki in upravljanjem porabe prenese cenovni ali dobavni šok bolje kot regija brez njih — in da je ta razlika merljiva v odstotku porabe, ki ga skupnost pokrije sama.</w:t>
      </w:r>
    </w:p>
    <w:p>
      <w:pPr>
        <w:pStyle w:val="Heading2"/>
        <w:spacing w:after="140" w:before="320"/>
      </w:pPr>
      <w:r>
        <w:rPr>
          <w:b/>
          <w:bCs/>
          <w:color w:val="146C74"/>
          <w:sz w:val="25"/>
          <w:szCs w:val="25"/>
        </w:rPr>
        <w:t xml:space="preserve">4.4 Demografski pomen</w:t>
      </w:r>
    </w:p>
    <w:p>
      <w:pPr>
        <w:spacing w:after="140" w:line="288"/>
      </w:pPr>
      <w:r>
        <w:rPr>
          <w:sz w:val="21"/>
          <w:szCs w:val="21"/>
        </w:rPr>
        <w:t>Nižji in bolj predvidljivi stroški energije neposredno vplivajo na gospodinjstva z nižjimi dohodki, teh pa je v Obalno-kraški regiji nadpovprečno veliko — regija je imela leta 2024 najvišjo stopnjo tveganja revščine med statističnimi regijami (19,5 odstotka). Energetska odpornost je zato tudi socialna politika, ne le okoljska.</w:t>
      </w:r>
    </w:p>
    <w:p>
      <w:pPr>
        <w:spacing w:after="220"/>
      </w:pPr>
      <w:r>
        <w:rPr>
          <w:i/>
          <w:iCs/>
          <w:color w:val="595959"/>
          <w:sz w:val="18"/>
          <w:szCs w:val="18"/>
        </w:rPr>
        <w:t xml:space="preserve">Vir: SURS (2024)</w:t>
      </w:r>
    </w:p>
    <w:p>
      <w:r>
        <w:br w:type="page"/>
      </w:r>
    </w:p>
    <w:p>
      <w:pPr>
        <w:pStyle w:val="Heading1"/>
        <w:pBdr>
          <w:bottom w:val="single" w:color="0F3D3E" w:sz="8" w:space="4"/>
        </w:pBdr>
        <w:spacing w:after="200" w:before="480"/>
      </w:pPr>
      <w:r>
        <w:rPr>
          <w:b/>
          <w:bCs/>
          <w:color w:val="0F3D3E"/>
          <w:sz w:val="30"/>
          <w:szCs w:val="30"/>
        </w:rPr>
        <w:t xml:space="preserve">5. Voda</w:t>
      </w:r>
    </w:p>
    <w:p>
      <w:pPr>
        <w:spacing w:after="200" w:line="300"/>
      </w:pPr>
      <w:r>
        <w:rPr>
          <w:color w:val="0F3D3E"/>
          <w:sz w:val="23"/>
          <w:szCs w:val="23"/>
        </w:rPr>
        <w:t xml:space="preserve">Voda je sistem z najkrajšim časom do posledice in najmanj alternativami. Zato je v tem predlogu na prvem mestu.</w:t>
      </w:r>
    </w:p>
    <w:p>
      <w:pPr>
        <w:pStyle w:val="Heading2"/>
        <w:spacing w:after="140" w:before="320"/>
      </w:pPr>
      <w:r>
        <w:rPr>
          <w:b/>
          <w:bCs/>
          <w:color w:val="146C74"/>
          <w:sz w:val="25"/>
          <w:szCs w:val="25"/>
        </w:rPr>
        <w:t xml:space="preserve">5.1 Najcenejši novi vodni vir je voda, ki jo že črpamo</w:t>
      </w:r>
    </w:p>
    <w:p>
      <w:pPr>
        <w:spacing w:after="120" w:line="288"/>
      </w:pPr>
      <w:r>
        <w:rPr>
          <w:b/>
          <w:bCs/>
          <w:color w:val="1B6E30"/>
          <w:sz w:val="21"/>
          <w:szCs w:val="21"/>
        </w:rPr>
        <w:t xml:space="preserve">[DEJSTVO] </w:t>
      </w:r>
      <w:r>
        <w:rPr>
          <w:sz w:val="21"/>
          <w:szCs w:val="21"/>
        </w:rPr>
        <w:t xml:space="preserve">Leta 2024 je bilo v Sloveniji za javni vodovod načrpanih 169 milijonov kubičnih metrov vode, od tega 98 odstotkov iz podzemnih virov. Izgube v vodovodnem omrežju so znašale 46,6 milijona kubičnih metrov — več kot četrtino vse načrpane vode. Gospodinjstva so porabila 77,4 milijona, poslovni subjekti pa 40 milijonov kubičnih metrov.</w:t>
      </w:r>
    </w:p>
    <w:p>
      <w:pPr>
        <w:spacing w:after="220"/>
      </w:pPr>
      <w:r>
        <w:rPr>
          <w:i/>
          <w:iCs/>
          <w:color w:val="595959"/>
          <w:sz w:val="18"/>
          <w:szCs w:val="18"/>
        </w:rPr>
        <w:t xml:space="preserve">Vir: SURS, statistika voda za leto 2024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Kaj ta podatek pomeni</w:t>
            </w:r>
          </w:p>
          <w:p>
            <w:pPr>
              <w:spacing w:after="80" w:line="280"/>
            </w:pPr>
            <w:r>
              <w:rPr>
                <w:sz w:val="20"/>
                <w:szCs w:val="20"/>
              </w:rPr>
              <w:t xml:space="preserve">Na državni ravni se več kot vsak četrti kubični meter načrpane vode nikoli ne porabi — izgubi se zaradi puščanj v omrežju in netočnosti merjenja.</w:t>
            </w:r>
          </w:p>
          <w:p>
            <w:pPr>
              <w:spacing w:after="80" w:line="280"/>
            </w:pPr>
            <w:r>
              <w:rPr>
                <w:sz w:val="20"/>
                <w:szCs w:val="20"/>
              </w:rPr>
              <w:t xml:space="preserve">To pomeni, da obstaja vir vode, ki ga ni treba iskati, zajeti ali graditi: že načrpana voda, ki uhaja iz sistema.</w:t>
            </w:r>
          </w:p>
          <w:p>
            <w:pPr>
              <w:spacing w:after="80" w:line="280"/>
            </w:pPr>
            <w:r>
              <w:rPr>
                <w:sz w:val="20"/>
                <w:szCs w:val="20"/>
              </w:rPr>
              <w:t xml:space="preserve">Zmanjšanje izgub je praviloma cenejše in politično manj sporno od gradnje novih zajetij ali akumulacij, ki zahtevajo hidrološke, okoljske in prostorske presoje.</w:t>
            </w:r>
          </w:p>
        </w:tc>
      </w:tr>
    </w:tbl>
    <w:p>
      <w:pPr>
        <w:spacing w:after="100"/>
      </w:pPr>
      <w:r>
        <w:rPr>
          <w:sz w:val="10"/>
          <w:szCs w:val="10"/>
        </w:rPr>
        <w:t xml:space="preserve"/>
      </w:r>
    </w:p>
    <w:p>
      <w:pPr>
        <w:spacing w:after="120" w:line="288"/>
      </w:pPr>
      <w:r>
        <w:rPr>
          <w:b/>
          <w:bCs/>
          <w:color w:val="595959"/>
          <w:sz w:val="21"/>
          <w:szCs w:val="21"/>
        </w:rPr>
        <w:t xml:space="preserve">[PODATEK NI NA VOLJO] </w:t>
      </w:r>
      <w:r>
        <w:rPr>
          <w:sz w:val="21"/>
          <w:szCs w:val="21"/>
        </w:rPr>
        <w:t xml:space="preserve">Odstotka vodnih izgub v omrežju Rižanskega vodovoda v okviru tega pregleda nismo pridobili. Ker gre za sistem z okoli 1.000 kilometri omrežja, je ta podatek za oceno prihranka odločilen. Predlagamo, da ga IDP pridobi neposredno pri upravljavcu — to je ena najbolj konkretnih in najmanj spornih raziskovalnih nalog v celotni zbirki.</w:t>
      </w:r>
    </w:p>
    <w:p>
      <w:pPr>
        <w:pStyle w:val="Heading2"/>
        <w:spacing w:after="140" w:before="320"/>
      </w:pPr>
      <w:r>
        <w:rPr>
          <w:b/>
          <w:bCs/>
          <w:color w:val="146C74"/>
          <w:sz w:val="25"/>
          <w:szCs w:val="25"/>
        </w:rPr>
        <w:t xml:space="preserve">5.2 Stanje sistema</w:t>
      </w:r>
    </w:p>
    <w:p>
      <w:pPr>
        <w:spacing w:after="140" w:line="288"/>
      </w:pPr>
      <w:r>
        <w:rPr>
          <w:sz w:val="21"/>
          <w:szCs w:val="21"/>
        </w:rPr>
        <w:t xml:space="preserve">Rižanski vodovod Koper oskrbuje Slovensko Istro prek sistema dveh čistilnih naprav, štirih vodnih virov in približno 1.000 kilometrov cevovodnega omrežja, pri čemer del vode kupuje od Istrskega in Kraškega vodovoda. Ob zadnjem javnem poročanju (avgust 2026) je bil vodni vir Rižane na minimalni, a stabilni ravni.</w:t>
      </w:r>
    </w:p>
    <w:p>
      <w:pPr>
        <w:spacing w:after="120" w:line="288"/>
      </w:pPr>
      <w:r>
        <w:rPr>
          <w:b/>
          <w:bCs/>
          <w:color w:val="A32020"/>
          <w:sz w:val="21"/>
          <w:szCs w:val="21"/>
        </w:rPr>
        <w:t xml:space="preserve">[NEUKREPANJE] </w:t>
      </w:r>
      <w:r>
        <w:rPr>
          <w:sz w:val="21"/>
          <w:szCs w:val="21"/>
        </w:rPr>
        <w:t xml:space="preserve">Vodstvo Rižanskega vodovoda je javno opozorilo, da bi ob večjem pomanjkanju vode prekinitve dobave postale neizogibne, in izrazilo nezadovoljstvo, da država za Slovensko Istro ni razvila novih vodnih virov. To ni hipotetično tveganje, ampak izjava upravljavca sistema.</w:t>
      </w:r>
    </w:p>
    <w:p>
      <w:pPr>
        <w:spacing w:after="220"/>
      </w:pPr>
      <w:r>
        <w:rPr>
          <w:i/>
          <w:iCs/>
          <w:color w:val="595959"/>
          <w:sz w:val="18"/>
          <w:szCs w:val="18"/>
        </w:rPr>
        <w:t xml:space="preserve">Vir: Rižanski vodovod Koper (2025–2026)</w:t>
      </w:r>
    </w:p>
    <w:p>
      <w:pPr>
        <w:pStyle w:val="Heading2"/>
        <w:spacing w:after="140" w:before="320"/>
      </w:pPr>
      <w:r>
        <w:rPr>
          <w:b/>
          <w:bCs/>
          <w:color w:val="146C74"/>
          <w:sz w:val="25"/>
          <w:szCs w:val="25"/>
        </w:rPr>
        <w:t xml:space="preserve">5.3 Konkurenčne potrebe</w:t>
      </w:r>
    </w:p>
    <w:p>
      <w:pPr>
        <w:spacing w:after="140" w:line="288"/>
      </w:pPr>
      <w:r>
        <w:rPr>
          <w:sz w:val="21"/>
          <w:szCs w:val="21"/>
        </w:rPr>
        <w:t xml:space="preserve">Vodo v Slovenski Istri hkrati potrebujejo stalno prebivalstvo, turizem, kmetijstvo in vodni ekosistemi. Turistična konica porabe sovpada z obdobjem najmanjše razpoložljivosti vira — to je strukturna značilnost, ne izjemen dogodek, in se bo ob napovedanem povečanju števila vročih dni verjetno okrepila.</w:t>
      </w:r>
    </w:p>
    <w:p>
      <w:pPr>
        <w:spacing w:after="220"/>
      </w:pPr>
      <w:r>
        <w:rPr>
          <w:i/>
          <w:iCs/>
          <w:color w:val="595959"/>
          <w:sz w:val="18"/>
          <w:szCs w:val="18"/>
        </w:rPr>
        <w:t xml:space="preserve">Vir: ARSO, Ocena podnebnih sprememb v Sloveniji do konca 21. stoletja (OPS21)</w:t>
      </w:r>
    </w:p>
    <w:p>
      <w:pPr>
        <w:pStyle w:val="Heading2"/>
        <w:spacing w:after="140" w:before="320"/>
      </w:pPr>
      <w:r>
        <w:rPr>
          <w:b/>
          <w:bCs/>
          <w:color w:val="146C74"/>
          <w:sz w:val="25"/>
          <w:szCs w:val="25"/>
        </w:rPr>
        <w:t xml:space="preserve">5.4 Predlagani ukrepi po vrstnem redu stroškovne učinkovitosti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0"/>
        <w:gridCol w:w="4000"/>
        <w:gridCol w:w="4000"/>
      </w:tblGrid>
      <w:tr>
        <w:trPr>
          <w:tblHeader/>
        </w:trPr>
        <w:tc>
          <w:tcPr>
            <w:tcW w:type="dxa" w:w="10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Prednost</w:t>
            </w:r>
          </w:p>
        </w:tc>
        <w:tc>
          <w:tcPr>
            <w:tcW w:type="dxa" w:w="40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Ukrep</w:t>
            </w:r>
          </w:p>
        </w:tc>
        <w:tc>
          <w:tcPr>
            <w:tcW w:type="dxa" w:w="40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Zakaj v tem vrstnem redu</w:t>
            </w:r>
          </w:p>
        </w:tc>
      </w:tr>
      <w:tr>
        <w:tc>
          <w:tcPr>
            <w:tcW w:type="dxa" w:w="1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w:t>
            </w:r>
          </w:p>
        </w:tc>
        <w:tc>
          <w:tcPr>
            <w:tcW w:type="dxa" w:w="4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Meritev in zmanjšanje izgub v omrežju</w:t>
            </w:r>
          </w:p>
        </w:tc>
        <w:tc>
          <w:tcPr>
            <w:tcW w:type="dxa" w:w="4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Voda je že načrpana; ne zahteva novih posegov v prostor ali novih dovoljenj</w:t>
            </w:r>
          </w:p>
        </w:tc>
      </w:tr>
      <w:tr>
        <w:tc>
          <w:tcPr>
            <w:tcW w:type="dxa" w:w="1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w:t>
            </w:r>
          </w:p>
        </w:tc>
        <w:tc>
          <w:tcPr>
            <w:tcW w:type="dxa" w:w="4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Zbiranje deževnice na javnih stavbah in v novih soseskah</w:t>
            </w:r>
          </w:p>
        </w:tc>
        <w:tc>
          <w:tcPr>
            <w:tcW w:type="dxa" w:w="4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Nizek strošek ob novogradnji, visok ob naknadni vgradnji</w:t>
            </w:r>
          </w:p>
        </w:tc>
      </w:tr>
      <w:tr>
        <w:tc>
          <w:tcPr>
            <w:tcW w:type="dxa" w:w="1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w:t>
            </w:r>
          </w:p>
        </w:tc>
        <w:tc>
          <w:tcPr>
            <w:tcW w:type="dxa" w:w="4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Ponovna uporaba sive vode, kjer je tehnično izvedljivo</w:t>
            </w:r>
          </w:p>
        </w:tc>
        <w:tc>
          <w:tcPr>
            <w:tcW w:type="dxa" w:w="4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Zmanjša porabo pitne vode za namene, ki je ne potrebujejo</w:t>
            </w:r>
          </w:p>
        </w:tc>
      </w:tr>
      <w:tr>
        <w:tc>
          <w:tcPr>
            <w:tcW w:type="dxa" w:w="1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w:t>
            </w:r>
          </w:p>
        </w:tc>
        <w:tc>
          <w:tcPr>
            <w:tcW w:type="dxa" w:w="4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Manjši zadrževalniki, ribniki in obnova mokrišč</w:t>
            </w:r>
          </w:p>
        </w:tc>
        <w:tc>
          <w:tcPr>
            <w:tcW w:type="dxa" w:w="4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Zahteva hidrološko in okoljsko presojo; učinek je počasnejši</w:t>
            </w:r>
          </w:p>
        </w:tc>
      </w:tr>
      <w:tr>
        <w:tc>
          <w:tcPr>
            <w:tcW w:type="dxa" w:w="1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5</w:t>
            </w:r>
          </w:p>
        </w:tc>
        <w:tc>
          <w:tcPr>
            <w:tcW w:type="dxa" w:w="4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Novi vodni viri in večje akumulacije</w:t>
            </w:r>
          </w:p>
        </w:tc>
        <w:tc>
          <w:tcPr>
            <w:tcW w:type="dxa" w:w="4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Najdaljši postopki, največji stroški, največ presoj</w:t>
            </w:r>
          </w:p>
        </w:tc>
      </w:tr>
    </w:tbl>
    <w:p>
      <w:pPr>
        <w:pBdr>
          <w:left w:val="single" w:color="8C6D31" w:sz="16" w:space="8"/>
        </w:pBdr>
        <w:spacing w:after="200" w:before="100"/>
        <w:ind w:left="400"/>
      </w:pPr>
      <w:r>
        <w:rPr>
          <w:i/>
          <w:iCs/>
          <w:color w:val="0F3D3E"/>
          <w:sz w:val="21"/>
          <w:szCs w:val="21"/>
        </w:rPr>
        <w:t xml:space="preserve">Voda, ki pade na območje, naj se čim dlje zadrži na območju, kjer je to ekološko in hidrološko smiselno.</w:t>
      </w:r>
    </w:p>
    <w:p>
      <w:pPr>
        <w:spacing w:after="120" w:line="288"/>
      </w:pPr>
      <w:r>
        <w:rPr>
          <w:b/>
          <w:bCs/>
          <w:color w:val="7A2E8A"/>
          <w:sz w:val="21"/>
          <w:szCs w:val="21"/>
        </w:rPr>
        <w:t xml:space="preserve">[PREDLOG] </w:t>
      </w:r>
      <w:r>
        <w:rPr>
          <w:sz w:val="21"/>
          <w:szCs w:val="21"/>
        </w:rPr>
        <w:t xml:space="preserve">Predlagamo, da vodna varnost postane izrecna tema Regionalnega prostorskega plana in prihodnjega Istrskega dogovora o demografski odpornosti 2050. Vodni sistem je najbolj očiten primer sistema, ki ga nobena od štirih občin ne more zanesljivo upravljati sama.</w:t>
      </w:r>
    </w:p>
    <w:p>
      <w:r>
        <w:br w:type="page"/>
      </w:r>
    </w:p>
    <w:p>
      <w:pPr>
        <w:pStyle w:val="Heading1"/>
        <w:pBdr>
          <w:bottom w:val="single" w:color="0F3D3E" w:sz="8" w:space="4"/>
        </w:pBdr>
        <w:spacing w:after="200" w:before="480"/>
      </w:pPr>
      <w:r>
        <w:rPr>
          <w:b/>
          <w:bCs/>
          <w:color w:val="0F3D3E"/>
          <w:sz w:val="30"/>
          <w:szCs w:val="30"/>
        </w:rPr>
        <w:t xml:space="preserve">6. Bivanje in odporna gradnja</w:t>
      </w:r>
    </w:p>
    <w:p>
      <w:pPr>
        <w:spacing w:after="140" w:line="288"/>
      </w:pPr>
      <w:r>
        <w:rPr>
          <w:sz w:val="21"/>
          <w:szCs w:val="21"/>
        </w:rPr>
        <w:t xml:space="preserve">Stavbni fond je najpočasneje obnovljivi sistem v tem dokumentu. Hiša, zgrajena leta 2027, bo skoraj zagotovo stala tudi leta 2077. Odločitve o gradnji so zato med najbolj trajnimi odločitvami, ki jih občina sploh sprejme.</w:t>
      </w:r>
    </w:p>
    <w:p>
      <w:pPr>
        <w:pStyle w:val="Heading2"/>
        <w:spacing w:after="140" w:before="320"/>
      </w:pPr>
      <w:r>
        <w:rPr>
          <w:b/>
          <w:bCs/>
          <w:color w:val="146C74"/>
          <w:sz w:val="25"/>
          <w:szCs w:val="25"/>
        </w:rPr>
        <w:t xml:space="preserve">6.1 Istrska odporna hiša</w:t>
      </w:r>
    </w:p>
    <w:p>
      <w:pPr>
        <w:spacing w:after="140" w:line="288"/>
      </w:pPr>
      <w:r>
        <w:rPr>
          <w:sz w:val="21"/>
          <w:szCs w:val="21"/>
        </w:rPr>
        <w:t xml:space="preserve">Koncept Earthship uporabljamo kot idejni vir načel, ne kot model za dobesedno kopiranje. Uporabna načela so pasivno ogrevanje in hlajenje, termična masa, senčenje, zbiranje vode, naravna ventilacija, energetska učinkovitost in uporaba lokalnih materialov.</w:t>
      </w:r>
    </w:p>
    <w:p>
      <w:pPr>
        <w:spacing w:after="140" w:line="288"/>
      </w:pPr>
      <w:r>
        <w:rPr>
          <w:sz w:val="21"/>
          <w:szCs w:val="21"/>
        </w:rPr>
        <w:t xml:space="preserve">Za Slovensko Istro predlagamo lastno različico, prilagojeno štirim značilnim obremenitvam območja: vročinskim valovom, suši, burji in močnim padavinam.</w:t>
      </w:r>
    </w:p>
    <w:p>
      <w:pPr>
        <w:spacing w:after="120" w:line="288"/>
      </w:pPr>
      <w:r>
        <w:rPr>
          <w:b/>
          <w:bCs/>
          <w:color w:val="1553A0"/>
          <w:sz w:val="21"/>
          <w:szCs w:val="21"/>
        </w:rPr>
        <w:t xml:space="preserve">[INTERPRETACIJA] </w:t>
      </w:r>
      <w:r>
        <w:rPr>
          <w:sz w:val="21"/>
          <w:szCs w:val="21"/>
        </w:rPr>
        <w:t xml:space="preserve">Po projekcijah ARSO se bo število vročih dni (nad 30 °C) po visokoemisijskem scenariju do konca stoletja povečalo tudi za do 60 dni letno, število tropskih noči pa za 5 do 60 dni. Pasivno hlajenje in senčenje zato nista estetska izbira, ampak vprašanje uporabnosti stavbe v njeni predvideni življenjski dobi — še posebej za starejše prebivalce, ki so ob vročinskih valovih najbolj ogroženi.</w:t>
      </w:r>
    </w:p>
    <w:p>
      <w:pPr>
        <w:pStyle w:val="Heading2"/>
        <w:spacing w:after="140" w:before="320"/>
      </w:pPr>
      <w:r>
        <w:rPr>
          <w:b/>
          <w:bCs/>
          <w:color w:val="146C74"/>
          <w:sz w:val="25"/>
          <w:szCs w:val="25"/>
        </w:rPr>
        <w:t xml:space="preserve">6.2 Age-proof housing: stanovanje za 35 in za 85 let</w:t>
      </w:r>
    </w:p>
    <w:p>
      <w:pPr>
        <w:spacing w:after="140" w:line="288"/>
      </w:pPr>
      <w:r>
        <w:rPr>
          <w:sz w:val="21"/>
          <w:szCs w:val="21"/>
        </w:rPr>
        <w:t xml:space="preserve">Isto stanovanje mora biti pri 35 letih primerno družini in pri 85 letih človeku z zmanjšano mobilnostjo. V praksi to pomeni manj stopnic ali dostopno alternativo, širša vrata, dostopen tuš, prostor za morebitno pomoč, možnost naknadne vgradnje dvigala ter pripravljenost za senzorje in asistivno tehnologijo.</w:t>
      </w:r>
    </w:p>
    <w:p>
      <w:pPr>
        <w:spacing w:after="140" w:line="288"/>
      </w:pPr>
      <w:r>
        <w:rPr>
          <w:sz w:val="21"/>
          <w:szCs w:val="21"/>
        </w:rPr>
        <w:t xml:space="preserve">Ključno je, da so ti elementi načrtovani v fazi projektiranja. Naknadna prilagoditev je praviloma večkratno dražja od vgradnje ob gradnji.</w:t>
      </w:r>
    </w:p>
    <w:p>
      <w:pPr>
        <w:spacing w:after="120" w:line="288"/>
      </w:pPr>
      <w:r>
        <w:rPr>
          <w:b/>
          <w:bCs/>
          <w:color w:val="7A2E8A"/>
          <w:sz w:val="21"/>
          <w:szCs w:val="21"/>
        </w:rPr>
        <w:t xml:space="preserve">[PREDLOG] </w:t>
      </w:r>
      <w:r>
        <w:rPr>
          <w:sz w:val="21"/>
          <w:szCs w:val="21"/>
        </w:rPr>
        <w:t xml:space="preserve">Predlagamo, da vsak javno sofinanciran stanovanjski projekt v Slovenski Istri izpolni kratek kontrolni seznam odpornosti in dostopnosti — ne glede na to, ali je formalno namenjen mladim ali starejšim. Demografija kaže, da bodo isti prebivalci v istem stanovanju ostali skozi več desetletij.</w:t>
      </w:r>
    </w:p>
    <w:p>
      <w:pPr>
        <w:pStyle w:val="Heading2"/>
        <w:spacing w:after="140" w:before="320"/>
      </w:pPr>
      <w:r>
        <w:rPr>
          <w:b/>
          <w:bCs/>
          <w:color w:val="146C74"/>
          <w:sz w:val="25"/>
          <w:szCs w:val="25"/>
        </w:rPr>
        <w:t xml:space="preserve">6.3 Povezava s stanovanjsko stisko</w:t>
      </w:r>
    </w:p>
    <w:p>
      <w:pPr>
        <w:spacing w:after="140" w:line="288"/>
      </w:pPr>
      <w:r>
        <w:rPr>
          <w:sz w:val="21"/>
          <w:szCs w:val="21"/>
        </w:rPr>
        <w:t xml:space="preserve">Odporna gradnja ne rešuje stanovanjske dostopnosti — ta je obravnavana v Dokumentu 1. Vendar velja obratno razmerje: stanovanja, zgrajena brez upoštevanja vročine, dostopnosti in stroškov energije, bodo v dveh desetletjih postala draga za vzdrževanje in težka za prodajo ali oddajo, kar stanovanjsko stisko dolgoročno poglablja.</w:t>
      </w:r>
    </w:p>
    <w:p>
      <w:r>
        <w:br w:type="page"/>
      </w:r>
    </w:p>
    <w:p>
      <w:pPr>
        <w:pStyle w:val="Heading1"/>
        <w:pBdr>
          <w:bottom w:val="single" w:color="0F3D3E" w:sz="8" w:space="4"/>
        </w:pBdr>
        <w:spacing w:after="200" w:before="480"/>
      </w:pPr>
      <w:r>
        <w:rPr>
          <w:b/>
          <w:bCs/>
          <w:color w:val="0F3D3E"/>
          <w:sz w:val="30"/>
          <w:szCs w:val="30"/>
        </w:rPr>
        <w:t xml:space="preserve">7. Materiali, odpadki in kompost</w:t>
      </w:r>
    </w:p>
    <w:p>
      <w:pPr>
        <w:pStyle w:val="Heading2"/>
        <w:spacing w:after="140" w:before="320"/>
      </w:pPr>
      <w:r>
        <w:rPr>
          <w:b/>
          <w:bCs/>
          <w:color w:val="146C74"/>
          <w:sz w:val="25"/>
          <w:szCs w:val="25"/>
        </w:rPr>
        <w:t xml:space="preserve">7.1 Kompost kot strateška surovina</w:t>
      </w:r>
    </w:p>
    <w:p>
      <w:pPr>
        <w:spacing w:after="140" w:line="288"/>
      </w:pPr>
      <w:r>
        <w:rPr>
          <w:sz w:val="21"/>
          <w:szCs w:val="21"/>
        </w:rPr>
        <w:t xml:space="preserve">Model je preprost: bioodpadki → kompost → rodovitnost → lokalna proizvodnja hrane. Organizirano regionalno kompostiranje bi lahko povezovalo gospodinjstva, gostinstvo, hotele, komunalna podjetja in kmetovalce štirih občin.</w:t>
      </w:r>
    </w:p>
    <w:p>
      <w:pPr>
        <w:spacing w:after="120" w:line="288"/>
      </w:pPr>
      <w:r>
        <w:rPr>
          <w:b/>
          <w:bCs/>
          <w:color w:val="1553A0"/>
          <w:sz w:val="21"/>
          <w:szCs w:val="21"/>
        </w:rPr>
        <w:t xml:space="preserve">[INTERPRETACIJA] </w:t>
      </w:r>
      <w:r>
        <w:rPr>
          <w:sz w:val="21"/>
          <w:szCs w:val="21"/>
        </w:rPr>
        <w:t xml:space="preserve">V regiji z močnim turizmom je gostinstvo pomemben in sezonsko koncentriran vir bioloških odpadkov. To je hkrati prednost (velike količine na malo lokacijah) in izziv (izrazita sezonskost, ki oteži načrtovanje zmogljivosti).</w:t>
      </w:r>
    </w:p>
    <w:p>
      <w:pPr>
        <w:spacing w:after="140" w:line="288"/>
      </w:pPr>
      <w:r>
        <w:rPr>
          <w:sz w:val="21"/>
          <w:szCs w:val="21"/>
        </w:rPr>
        <w:t xml:space="preserve">Sistem mora biti strokovno zasnovan zaradi tveganj patogenov, onesnaževal in mikroplastike v vhodnem materialu. Kakovost vhodnega materiala je odločilna: kompost iz slabo ločenih odpadkov ima omejeno uporabnost v pridelavi hrane.</w:t>
      </w:r>
    </w:p>
    <w:p>
      <w:pPr>
        <w:spacing w:after="120" w:line="288"/>
      </w:pPr>
      <w:r>
        <w:rPr>
          <w:b/>
          <w:bCs/>
          <w:color w:val="7A2E8A"/>
          <w:sz w:val="21"/>
          <w:szCs w:val="21"/>
        </w:rPr>
        <w:t xml:space="preserve">[PREDLOG] </w:t>
      </w:r>
      <w:r>
        <w:rPr>
          <w:sz w:val="21"/>
          <w:szCs w:val="21"/>
        </w:rPr>
        <w:t xml:space="preserve">Pred kakršnokoli odločitvijo o regionalnem kompostiranju naj IDP oziroma občine naročijo strokovno oceno stroškov, varnostnih standardov in obstoječih zmogljivosti komunalnih podjetij v vseh štirih občinah. Brez tega je predlog ideja, ne projekt.</w:t>
      </w:r>
    </w:p>
    <w:p>
      <w:pPr>
        <w:pStyle w:val="Heading2"/>
        <w:spacing w:after="140" w:before="320"/>
      </w:pPr>
      <w:r>
        <w:rPr>
          <w:b/>
          <w:bCs/>
          <w:color w:val="146C74"/>
          <w:sz w:val="25"/>
          <w:szCs w:val="25"/>
        </w:rPr>
        <w:t xml:space="preserve">7.2 Gradbeni in drugi materiali</w:t>
      </w:r>
    </w:p>
    <w:p>
      <w:pPr>
        <w:spacing w:after="120" w:line="288"/>
      </w:pPr>
      <w:r>
        <w:rPr>
          <w:b/>
          <w:bCs/>
          <w:color w:val="595959"/>
          <w:sz w:val="21"/>
          <w:szCs w:val="21"/>
        </w:rPr>
        <w:t xml:space="preserve">[PODATEK NI NA VOLJO] </w:t>
      </w:r>
      <w:r>
        <w:rPr>
          <w:sz w:val="21"/>
          <w:szCs w:val="21"/>
        </w:rPr>
        <w:t xml:space="preserve">Podatkov o tokovih gradbenih materialov, deležu recikliranih materialov v gradnji ali lokalni razpoložljivosti kamna, lesa in drugih materialov v Slovenski Istri v tem pregledu nismo pridobili. Predlogov na tem področju zato ne podajamo — navajamo ga kot vrzel, ki jo je treba zapolniti, preden bi kdo o njej odločal.</w:t>
      </w:r>
    </w:p>
    <w:p>
      <w:pPr>
        <w:pStyle w:val="Heading2"/>
        <w:spacing w:after="140" w:before="320"/>
      </w:pPr>
      <w:r>
        <w:rPr>
          <w:b/>
          <w:bCs/>
          <w:color w:val="146C74"/>
          <w:sz w:val="25"/>
          <w:szCs w:val="25"/>
        </w:rPr>
        <w:t xml:space="preserve">7.3 Načelo, ki velja ne glede na podatke</w:t>
      </w:r>
    </w:p>
    <w:p>
      <w:pPr>
        <w:spacing w:after="140" w:line="288"/>
      </w:pPr>
      <w:r>
        <w:rPr>
          <w:sz w:val="21"/>
          <w:szCs w:val="21"/>
        </w:rPr>
        <w:t xml:space="preserve">Pri materialih je najzanesljivejši ukrep zmanjšanje potrebe, ne nadomeščanje vira. Prenova obstoječe stavbe praviloma porabi manj materiala kot novogradnja, popravilo manj kot zamenjava, deljena raba orodja in opreme pa manj kot posamično lastništvo. To so ukrepi, ki ne zahtevajo novih dobavnih verig.</w:t>
      </w:r>
    </w:p>
    <w:p>
      <w:r>
        <w:br w:type="page"/>
      </w:r>
    </w:p>
    <w:p>
      <w:pPr>
        <w:pStyle w:val="Heading1"/>
        <w:pBdr>
          <w:bottom w:val="single" w:color="0F3D3E" w:sz="8" w:space="4"/>
        </w:pBdr>
        <w:spacing w:after="200" w:before="480"/>
      </w:pPr>
      <w:r>
        <w:rPr>
          <w:b/>
          <w:bCs/>
          <w:color w:val="0F3D3E"/>
          <w:sz w:val="30"/>
          <w:szCs w:val="30"/>
        </w:rPr>
        <w:t xml:space="preserve">8. Transport in logistika</w:t>
      </w:r>
    </w:p>
    <w:p>
      <w:pPr>
        <w:spacing w:after="140" w:line="288"/>
      </w:pPr>
      <w:r>
        <w:rPr>
          <w:sz w:val="21"/>
          <w:szCs w:val="21"/>
        </w:rPr>
        <w:t xml:space="preserve">Slovenska Istra je pri transportu v nenavadnem položaju: je izrazito dobro povezana navzven — pristanišče, avtocesta, železnica, bližina dveh državnih meja — in hkrati razmeroma slabo povezana znotraj, zlasti med zaledjem in obalnimi središči.</w:t>
      </w:r>
    </w:p>
    <w:p>
      <w:pPr>
        <w:pStyle w:val="Heading2"/>
        <w:spacing w:after="140" w:before="320"/>
      </w:pPr>
      <w:r>
        <w:rPr>
          <w:b/>
          <w:bCs/>
          <w:color w:val="146C74"/>
          <w:sz w:val="25"/>
          <w:szCs w:val="25"/>
        </w:rPr>
        <w:t xml:space="preserve">8.1 Notranja mobilnost je demografsko vprašanje</w:t>
      </w:r>
    </w:p>
    <w:p>
      <w:pPr>
        <w:spacing w:after="140" w:line="288"/>
      </w:pPr>
      <w:r>
        <w:rPr>
          <w:sz w:val="21"/>
          <w:szCs w:val="21"/>
        </w:rPr>
        <w:t xml:space="preserve">Kot je opisano v Dokumentu 2, prebivalci Slovenske Istre vsakodnevno prehajajo občinske meje: živijo v eni občini, delajo v drugi, k zdravniku hodijo v tretjo. Kakovost javnega prevoza med štirimi občinami zato ni udobje, temveč pogoj za to, da regija deluje kot enoten trg dela in storitev.</w:t>
      </w:r>
    </w:p>
    <w:p>
      <w:pPr>
        <w:spacing w:after="120" w:line="288"/>
      </w:pPr>
      <w:r>
        <w:rPr>
          <w:b/>
          <w:bCs/>
          <w:color w:val="1553A0"/>
          <w:sz w:val="21"/>
          <w:szCs w:val="21"/>
        </w:rPr>
        <w:t xml:space="preserve">[INTERPRETACIJA] </w:t>
      </w:r>
      <w:r>
        <w:rPr>
          <w:sz w:val="21"/>
          <w:szCs w:val="21"/>
        </w:rPr>
        <w:t xml:space="preserve">Za starajočo se populacijo je odvisnost od osebnega avtomobila posebna oblika ranljivosti. Prebivalec, ki pri 80 letih ne vozi več, v okolju brez uporabnega javnega prevoza izgubi dostop do zdravstva, trgovine in socialnih stikov hkrati. To je neposredna povezava med prometno in demografsko politiko.</w:t>
      </w:r>
    </w:p>
    <w:p>
      <w:pPr>
        <w:pStyle w:val="Heading2"/>
        <w:spacing w:after="140" w:before="320"/>
      </w:pPr>
      <w:r>
        <w:rPr>
          <w:b/>
          <w:bCs/>
          <w:color w:val="146C74"/>
          <w:sz w:val="25"/>
          <w:szCs w:val="25"/>
        </w:rPr>
        <w:t xml:space="preserve">8.2 Odvisnost od naftnih derivatov</w:t>
      </w:r>
    </w:p>
    <w:p>
      <w:pPr>
        <w:spacing w:after="140" w:line="288"/>
      </w:pPr>
      <w:r>
        <w:rPr>
          <w:sz w:val="21"/>
          <w:szCs w:val="21"/>
        </w:rPr>
        <w:t xml:space="preserve">Na nacionalni ravni je promet največji porabnik končne energije (42 odstotkov), naftni proizvodi pa predstavljajo 47 odstotkov končne rabe energije. To je največja posamična odvisnost od uvoženega energenta v celotni energetski bilanci.</w:t>
      </w:r>
    </w:p>
    <w:p>
      <w:pPr>
        <w:spacing w:after="220"/>
      </w:pPr>
      <w:r>
        <w:rPr>
          <w:i/>
          <w:iCs/>
          <w:color w:val="595959"/>
          <w:sz w:val="18"/>
          <w:szCs w:val="18"/>
        </w:rPr>
        <w:t xml:space="preserve">Vir: SURS, Energetska statistika 2024</w:t>
      </w:r>
    </w:p>
    <w:p>
      <w:pPr>
        <w:spacing w:after="120" w:line="288"/>
      </w:pPr>
      <w:r>
        <w:rPr>
          <w:b/>
          <w:bCs/>
          <w:color w:val="7A2E8A"/>
          <w:sz w:val="21"/>
          <w:szCs w:val="21"/>
        </w:rPr>
        <w:t xml:space="preserve">[PREDLOG] </w:t>
      </w:r>
      <w:r>
        <w:rPr>
          <w:sz w:val="21"/>
          <w:szCs w:val="21"/>
        </w:rPr>
        <w:t xml:space="preserve">Predlagamo, da se pri načrtovanju javnega prevoza v Slovenski Istri vzporedno obravnavata dva cilja, ki se pogosto obravnavata ločeno: dostopnost za starejše in zmanjšanje odvisnosti od naftnih derivatov. Ukrepi se v veliki meri prekrivajo, financiranje pa je pogosto v ločenih razpisih.</w:t>
      </w:r>
    </w:p>
    <w:p>
      <w:pPr>
        <w:pStyle w:val="Heading2"/>
        <w:spacing w:after="140" w:before="320"/>
      </w:pPr>
      <w:r>
        <w:rPr>
          <w:b/>
          <w:bCs/>
          <w:color w:val="146C74"/>
          <w:sz w:val="25"/>
          <w:szCs w:val="25"/>
        </w:rPr>
        <w:t xml:space="preserve">8.3 Pristanišče kot dvojni dejavnik</w:t>
      </w:r>
    </w:p>
    <w:p>
      <w:pPr>
        <w:spacing w:after="140" w:line="288"/>
      </w:pPr>
      <w:r>
        <w:rPr>
          <w:sz w:val="21"/>
          <w:szCs w:val="21"/>
        </w:rPr>
        <w:t xml:space="preserve">Luka Koper je za regijo hkrati gospodarska prednost in vir obremenitve (promet, prostor, okolje). Podrobnejša obravnava presega obseg tega dokumenta, vendar je za odpornost pomembna ena lastnost: pristanišče je alternativna dobavna pot za širše zaledje, kar je v razmerah motenj v mednarodni logistiki strateška prednost, ki je večina slovenskih regij nima.</w:t>
      </w:r>
    </w:p>
    <w:p>
      <w:r>
        <w:br w:type="page"/>
      </w:r>
    </w:p>
    <w:p>
      <w:pPr>
        <w:pStyle w:val="Heading1"/>
        <w:pBdr>
          <w:bottom w:val="single" w:color="0F3D3E" w:sz="8" w:space="4"/>
        </w:pBdr>
        <w:spacing w:after="200" w:before="480"/>
      </w:pPr>
      <w:r>
        <w:rPr>
          <w:b/>
          <w:bCs/>
          <w:color w:val="0F3D3E"/>
          <w:sz w:val="30"/>
          <w:szCs w:val="30"/>
        </w:rPr>
        <w:t xml:space="preserve">9. Digitalna infrastruktura</w:t>
      </w:r>
    </w:p>
    <w:p>
      <w:pPr>
        <w:spacing w:after="140" w:line="288"/>
      </w:pPr>
      <w:r>
        <w:rPr>
          <w:sz w:val="21"/>
          <w:szCs w:val="21"/>
        </w:rPr>
        <w:t xml:space="preserve">Digitalna infrastruktura je edini sistem v tem dokumentu, katerega kritičnost hitro narašča, hkrati pa je v razpravah o odpornosti najpogosteje spregledana.</w:t>
      </w:r>
    </w:p>
    <w:p>
      <w:pPr>
        <w:pStyle w:val="Heading2"/>
        <w:spacing w:after="140" w:before="320"/>
      </w:pPr>
      <w:r>
        <w:rPr>
          <w:b/>
          <w:bCs/>
          <w:color w:val="146C74"/>
          <w:sz w:val="25"/>
          <w:szCs w:val="25"/>
        </w:rPr>
        <w:t xml:space="preserve">9.1 Zakaj to sodi v dokument o samozadostnosti</w:t>
      </w:r>
    </w:p>
    <w:p>
      <w:pPr>
        <w:spacing w:after="140" w:line="288"/>
      </w:pPr>
      <w:r>
        <w:rPr>
          <w:sz w:val="21"/>
          <w:szCs w:val="21"/>
        </w:rPr>
        <w:t xml:space="preserve">Vsak od ukrepov, predlaganih v prejšnjih poglavjih, se opira na digitalne sisteme: pametno upravljanje porabe v energetski skupnosti, zaznavanje izgub v vodovodnem omrežju, telemedicina in e-oskrba za starejše, sledenje kratkim prehranskim verigam, evidentiranje kratkotrajnega oddajanja stanovanj.</w:t>
      </w:r>
    </w:p>
    <w:p>
      <w:pPr>
        <w:spacing w:after="120" w:line="288"/>
      </w:pPr>
      <w:r>
        <w:rPr>
          <w:b/>
          <w:bCs/>
          <w:color w:val="1553A0"/>
          <w:sz w:val="21"/>
          <w:szCs w:val="21"/>
        </w:rPr>
        <w:t xml:space="preserve">[INTERPRETACIJA] </w:t>
      </w:r>
      <w:r>
        <w:rPr>
          <w:sz w:val="21"/>
          <w:szCs w:val="21"/>
        </w:rPr>
        <w:t xml:space="preserve">To pomeni, da digitalna infrastruktura ni eno od področij odpornosti, temveč pogoj za večino drugih. Regija, ki digitalizira upravljanje vode in energije, prenese motnjo teh sistemov bolje — a hkrati postane občutljiva za motnjo digitalnega sistema samega. To ni argument proti digitalizaciji, ampak argument za to, da se pri vsakem takem sistemu vnaprej določi, kako deluje, ko odpove.</w:t>
      </w:r>
    </w:p>
    <w:p>
      <w:pPr>
        <w:pStyle w:val="Heading2"/>
        <w:spacing w:after="140" w:before="320"/>
      </w:pPr>
      <w:r>
        <w:rPr>
          <w:b/>
          <w:bCs/>
          <w:color w:val="146C74"/>
          <w:sz w:val="25"/>
          <w:szCs w:val="25"/>
        </w:rPr>
        <w:t xml:space="preserve">9.2 Vrstni red, ki velja tudi tu</w:t>
      </w:r>
    </w:p>
    <w:p>
      <w:pPr>
        <w:spacing w:after="140" w:line="288"/>
      </w:pPr>
      <w:r>
        <w:rPr>
          <w:sz w:val="21"/>
          <w:szCs w:val="21"/>
        </w:rPr>
        <w:t xml:space="preserve">Vrstni red digitalizacija → optimizacija → avtomatizacija → robotizacija, opisan v Dokumentu 1, velja tudi za sisteme odpornosti. Avtomatizirati slabo zasnovan postopek pomeni pospešiti napako.</w:t>
      </w:r>
    </w:p>
    <w:p>
      <w:pPr>
        <w:pStyle w:val="Heading2"/>
        <w:spacing w:after="140" w:before="320"/>
      </w:pPr>
      <w:r>
        <w:rPr>
          <w:b/>
          <w:bCs/>
          <w:color w:val="146C74"/>
          <w:sz w:val="25"/>
          <w:szCs w:val="25"/>
        </w:rPr>
        <w:t xml:space="preserve">9.3 Podatkovna odpornost</w:t>
      </w:r>
    </w:p>
    <w:p>
      <w:pPr>
        <w:pStyle w:val="ListParagraph"/>
        <w:numPr>
          <w:ilvl w:val="0"/>
          <w:numId w:val="1"/>
        </w:numPr>
        <w:spacing w:after="80" w:line="276"/>
      </w:pPr>
      <w:r>
        <w:rPr>
          <w:sz w:val="21"/>
          <w:szCs w:val="21"/>
        </w:rPr>
        <w:t xml:space="preserve">Kje so shranjeni podatki občinskih sistemov in kdo do njih dostopa?</w:t>
      </w:r>
    </w:p>
    <w:p>
      <w:pPr>
        <w:pStyle w:val="ListParagraph"/>
        <w:numPr>
          <w:ilvl w:val="0"/>
          <w:numId w:val="1"/>
        </w:numPr>
        <w:spacing w:after="80" w:line="276"/>
      </w:pPr>
      <w:r>
        <w:rPr>
          <w:sz w:val="21"/>
          <w:szCs w:val="21"/>
        </w:rPr>
        <w:t xml:space="preserve">Kaj se zgodi z upravljanjem vode ali energije, če odpove povezava ali ponudnik storitve?</w:t>
      </w:r>
    </w:p>
    <w:p>
      <w:pPr>
        <w:pStyle w:val="ListParagraph"/>
        <w:numPr>
          <w:ilvl w:val="0"/>
          <w:numId w:val="1"/>
        </w:numPr>
        <w:spacing w:after="80" w:line="276"/>
      </w:pPr>
      <w:r>
        <w:rPr>
          <w:sz w:val="21"/>
          <w:szCs w:val="21"/>
        </w:rPr>
        <w:t xml:space="preserve">Ali je mogoče sistem upravljati ročno, dokler motnja traja?</w:t>
      </w:r>
    </w:p>
    <w:p>
      <w:pPr>
        <w:pStyle w:val="ListParagraph"/>
        <w:numPr>
          <w:ilvl w:val="0"/>
          <w:numId w:val="1"/>
        </w:numPr>
        <w:spacing w:after="80" w:line="276"/>
      </w:pPr>
      <w:r>
        <w:rPr>
          <w:sz w:val="21"/>
          <w:szCs w:val="21"/>
        </w:rPr>
        <w:t xml:space="preserve">Kdo v občinski upravi zna sistem uporabljati, če odpove tisti, ki ga sicer vodi?</w:t>
      </w:r>
    </w:p>
    <w:p>
      <w:pPr>
        <w:spacing w:after="120" w:line="288"/>
      </w:pPr>
      <w:r>
        <w:rPr>
          <w:b/>
          <w:bCs/>
          <w:color w:val="7A2E8A"/>
          <w:sz w:val="21"/>
          <w:szCs w:val="21"/>
        </w:rPr>
        <w:t xml:space="preserve">[PREDLOG] </w:t>
      </w:r>
      <w:r>
        <w:rPr>
          <w:sz w:val="21"/>
          <w:szCs w:val="21"/>
        </w:rPr>
        <w:t xml:space="preserve">Predlagamo, da vsak nov digitalni sistem, ki ga občine uvedejo za upravljanje vode, energije, oskrbe ali prostora, ob uvedbi dobi zapisan načrt delovanja ob izpadu. To je zahteva, ki ne stane skoraj nič, če je postavljena ob naročilu, in je zelo draga, če se je spomnimo pozneje.</w:t>
      </w:r>
    </w:p>
    <w:p>
      <w:r>
        <w:br w:type="page"/>
      </w:r>
    </w:p>
    <w:p>
      <w:pPr>
        <w:pStyle w:val="Heading1"/>
        <w:pBdr>
          <w:bottom w:val="single" w:color="0F3D3E" w:sz="8" w:space="4"/>
        </w:pBdr>
        <w:spacing w:after="200" w:before="480"/>
      </w:pPr>
      <w:r>
        <w:rPr>
          <w:b/>
          <w:bCs/>
          <w:color w:val="0F3D3E"/>
          <w:sz w:val="30"/>
          <w:szCs w:val="30"/>
        </w:rPr>
        <w:t xml:space="preserve">10. Od odpornosti do priložnosti</w:t>
      </w:r>
    </w:p>
    <w:p>
      <w:pPr>
        <w:pBdr>
          <w:left w:val="single" w:color="8C6D31" w:sz="16" w:space="8"/>
        </w:pBdr>
        <w:spacing w:after="200" w:before="100"/>
        <w:ind w:left="400"/>
      </w:pPr>
      <w:r>
        <w:rPr>
          <w:i/>
          <w:iCs/>
          <w:color w:val="0F3D3E"/>
          <w:sz w:val="21"/>
          <w:szCs w:val="21"/>
        </w:rPr>
        <w:t xml:space="preserve">Če znamo nekaj učinkovito proizvesti lokalno in pri tem ustvarimo presežek, odpornost ne pomeni samo manj uvoza. Lahko pomeni novo izvozno ali gospodarsko priložnost.</w:t>
      </w:r>
    </w:p>
    <w:p>
      <w:pPr>
        <w:spacing w:after="140" w:line="288"/>
      </w:pPr>
      <w:r>
        <w:rPr>
          <w:sz w:val="21"/>
          <w:szCs w:val="21"/>
        </w:rPr>
        <w:t xml:space="preserve">To je najbolj ambiciozen del predloga in hkrati tisti, pri katerem je treba biti najbolj pošten glede velikosti. Slovenska Istra ima okoli 92.000 prebivalcev. Pri surovinah in energiji ne bo nikoli izvoznik v obsegu, ki bi pomembno vplival na njeno gospodarstvo.</w:t>
      </w:r>
    </w:p>
    <w:p>
      <w:pPr>
        <w:spacing w:after="140" w:line="288"/>
      </w:pPr>
      <w:r>
        <w:rPr>
          <w:sz w:val="21"/>
          <w:szCs w:val="21"/>
        </w:rPr>
        <w:t xml:space="preserve">Kar je izvozljivo, ni obseg. Izvozljivi so metoda, znanje, storitev in izdelek z visoko dodano vrednostjo.</w:t>
      </w:r>
    </w:p>
    <w:p>
      <w:pPr>
        <w:pStyle w:val="Heading2"/>
        <w:spacing w:after="140" w:before="320"/>
      </w:pPr>
      <w:r>
        <w:rPr>
          <w:b/>
          <w:bCs/>
          <w:color w:val="146C74"/>
          <w:sz w:val="25"/>
          <w:szCs w:val="25"/>
        </w:rPr>
        <w:t xml:space="preserve">10.1 Presoja po področjih</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5000"/>
      </w:tblGrid>
      <w:tr>
        <w:trPr>
          <w:tblHeader/>
        </w:trPr>
        <w:tc>
          <w:tcPr>
            <w:tcW w:type="dxa" w:w="18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Področje</w:t>
            </w:r>
          </w:p>
        </w:tc>
        <w:tc>
          <w:tcPr>
            <w:tcW w:type="dxa" w:w="22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Je presežek realen?</w:t>
            </w:r>
          </w:p>
        </w:tc>
        <w:tc>
          <w:tcPr>
            <w:tcW w:type="dxa" w:w="50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Kaj je dejansko izvozljivo</w:t>
            </w:r>
          </w:p>
        </w:tc>
      </w:tr>
      <w:tr>
        <w:tc>
          <w:tcPr>
            <w:tcW w:type="dxa" w:w="1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Energija</w:t>
            </w:r>
          </w:p>
        </w:tc>
        <w:tc>
          <w:tcPr>
            <w:tcW w:type="dxa" w:w="22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Ne v pomembnem obsegu</w:t>
            </w:r>
          </w:p>
        </w:tc>
        <w:tc>
          <w:tcPr>
            <w:tcW w:type="dxa" w:w="5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Model upravljanja regionalne energetske skupnosti; izkušnja povezovanja turističnih in javnih porabnikov</w:t>
            </w:r>
          </w:p>
        </w:tc>
      </w:tr>
      <w:tr>
        <w:tc>
          <w:tcPr>
            <w:tcW w:type="dxa" w:w="18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Voda</w:t>
            </w:r>
          </w:p>
        </w:tc>
        <w:tc>
          <w:tcPr>
            <w:tcW w:type="dxa" w:w="22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Ne — regija je v primanjkljaju</w:t>
            </w:r>
          </w:p>
        </w:tc>
        <w:tc>
          <w:tcPr>
            <w:tcW w:type="dxa" w:w="5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Metode upravljanja pomanjkanja: zmanjševanje izgub, zadrževanje vode, usklajevanje turistične konice</w:t>
            </w:r>
          </w:p>
        </w:tc>
      </w:tr>
      <w:tr>
        <w:tc>
          <w:tcPr>
            <w:tcW w:type="dxa" w:w="1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Hrana</w:t>
            </w:r>
          </w:p>
        </w:tc>
        <w:tc>
          <w:tcPr>
            <w:tcW w:type="dxa" w:w="22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Ne po količini, da po vrednosti</w:t>
            </w:r>
          </w:p>
        </w:tc>
        <w:tc>
          <w:tcPr>
            <w:tcW w:type="dxa" w:w="5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Oljčno olje, vino, sadje in predelani izdelki z zaščitenim poreklom</w:t>
            </w:r>
          </w:p>
        </w:tc>
      </w:tr>
      <w:tr>
        <w:tc>
          <w:tcPr>
            <w:tcW w:type="dxa" w:w="18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Znanje in metode</w:t>
            </w:r>
          </w:p>
        </w:tc>
        <w:tc>
          <w:tcPr>
            <w:tcW w:type="dxa" w:w="22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Da</w:t>
            </w:r>
          </w:p>
        </w:tc>
        <w:tc>
          <w:tcPr>
            <w:tcW w:type="dxa" w:w="5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Demografski časovni stroj, metodologija DM-2050, model Istrskega dogovora</w:t>
            </w:r>
          </w:p>
        </w:tc>
      </w:tr>
      <w:tr>
        <w:tc>
          <w:tcPr>
            <w:tcW w:type="dxa" w:w="1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Longevity storitve</w:t>
            </w:r>
          </w:p>
        </w:tc>
        <w:tc>
          <w:tcPr>
            <w:tcW w:type="dxa" w:w="22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Da</w:t>
            </w:r>
          </w:p>
        </w:tc>
        <w:tc>
          <w:tcPr>
            <w:tcW w:type="dxa" w:w="5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Programi zdravega staranja, rehabilitacija, preventiva, senior turizem</w:t>
            </w:r>
          </w:p>
        </w:tc>
      </w:tr>
      <w:tr>
        <w:tc>
          <w:tcPr>
            <w:tcW w:type="dxa" w:w="18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Tehnologija za starejše</w:t>
            </w:r>
          </w:p>
        </w:tc>
        <w:tc>
          <w:tcPr>
            <w:tcW w:type="dxa" w:w="22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Pogojno</w:t>
            </w:r>
          </w:p>
        </w:tc>
        <w:tc>
          <w:tcPr>
            <w:tcW w:type="dxa" w:w="5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Asistivne tehnologije in pametna oskrba — le ob partnerstvu z gospodarstvom in univerzo</w:t>
            </w:r>
          </w:p>
        </w:tc>
      </w:tr>
    </w:tbl>
    <w:p>
      <w:pPr>
        <w:spacing w:after="120" w:line="288"/>
      </w:pPr>
      <w:r>
        <w:rPr>
          <w:b/>
          <w:bCs/>
          <w:color w:val="1553A0"/>
          <w:sz w:val="21"/>
          <w:szCs w:val="21"/>
        </w:rPr>
        <w:t xml:space="preserve">[INTERPRETACIJA] </w:t>
      </w:r>
      <w:r>
        <w:rPr>
          <w:sz w:val="21"/>
          <w:szCs w:val="21"/>
        </w:rPr>
        <w:t xml:space="preserve">Vzorec v tabeli ni naključen. Področja, kjer je Slovenska Istra v primanjkljaju (voda) ali brez obsega (energija), so lahko vir izvozljivega znanja prav zaradi tega primanjkljaja: kdor mora upravljati pomanjkanje, razvije metode, ki jih regije v izobilju nimajo. To je realističnejša izvozna zgodba od pričakovanja presežka.</w:t>
      </w:r>
    </w:p>
    <w:p>
      <w:pPr>
        <w:pStyle w:val="Heading2"/>
        <w:spacing w:after="140" w:before="320"/>
      </w:pPr>
      <w:r>
        <w:rPr>
          <w:b/>
          <w:bCs/>
          <w:color w:val="146C74"/>
          <w:sz w:val="25"/>
          <w:szCs w:val="25"/>
        </w:rPr>
        <w:t xml:space="preserve">10.2 Longevity storitve kot najbolj obetavno področje</w:t>
      </w:r>
    </w:p>
    <w:p>
      <w:pPr>
        <w:spacing w:after="140" w:line="288"/>
      </w:pPr>
      <w:r>
        <w:rPr>
          <w:sz w:val="21"/>
          <w:szCs w:val="21"/>
        </w:rPr>
        <w:t xml:space="preserve">Med naštetimi področji ima največ dejanske podlage povezava dolgoživosti, zdravja in turizma. Regija že ima zdravstveno infrastrukturo, wellness in turistični sektor, Univerzo na Primorskem in raziskovalne institucije. Mestna občina Koper je junija 2026 srebrno ekonomijo že uvrstila med štiri razvojne stebre do leta 2050.</w:t>
      </w:r>
    </w:p>
    <w:p>
      <w:pPr>
        <w:spacing w:after="220"/>
      </w:pPr>
      <w:r>
        <w:rPr>
          <w:i/>
          <w:iCs/>
          <w:color w:val="595959"/>
          <w:sz w:val="18"/>
          <w:szCs w:val="18"/>
        </w:rPr>
        <w:t xml:space="preserve">Vir: ZRS Koper (junij 2026)</w:t>
      </w:r>
    </w:p>
    <w:p>
      <w:pPr>
        <w:spacing w:after="140" w:line="288"/>
      </w:pPr>
      <w:r>
        <w:rPr>
          <w:sz w:val="21"/>
          <w:szCs w:val="21"/>
        </w:rPr>
        <w:t xml:space="preserve">Podrobna obravnava ekonomskih priložnosti demografske prihodnosti — velikost trgov, kupci, potrebna znanja, časovnice in izvozni potencial po posameznih panogah — je predmet Dokumenta 4 te zbirke.</w:t>
      </w:r>
    </w:p>
    <w:p>
      <w:pPr>
        <w:pStyle w:val="Heading2"/>
        <w:spacing w:after="140" w:before="320"/>
      </w:pPr>
      <w:r>
        <w:rPr>
          <w:b/>
          <w:bCs/>
          <w:color w:val="146C74"/>
          <w:sz w:val="25"/>
          <w:szCs w:val="25"/>
        </w:rPr>
        <w:t xml:space="preserve">10.3 Varovalka</w:t>
      </w:r>
    </w:p>
    <w:p>
      <w:pPr>
        <w:spacing w:after="120" w:line="288"/>
      </w:pPr>
      <w:r>
        <w:rPr>
          <w:b/>
          <w:bCs/>
          <w:color w:val="7A2E8A"/>
          <w:sz w:val="21"/>
          <w:szCs w:val="21"/>
        </w:rPr>
        <w:t xml:space="preserve">[PREDLOG] </w:t>
      </w:r>
      <w:r>
        <w:rPr>
          <w:sz w:val="21"/>
          <w:szCs w:val="21"/>
        </w:rPr>
        <w:t xml:space="preserve">Vsak predlog iz tega poglavja mora skozi demografski monokel (14. poglavje), s posebnim poudarkom na vprašanju, ali bi privabljanje premožnejših starejših gostov ali priseljencev dvignilo cene stanovanj in izrinilo mlade. Regija z najvišjo stopnjo tveganja revščine v državi in hkrati med najdražjimi stanovanji si tega tveganja ne more privoščiti spregledati.</w:t>
      </w:r>
    </w:p>
    <w:p>
      <w:r>
        <w:br w:type="page"/>
      </w:r>
    </w:p>
    <w:p>
      <w:pPr>
        <w:pStyle w:val="Heading1"/>
        <w:pBdr>
          <w:bottom w:val="single" w:color="0F3D3E" w:sz="8" w:space="4"/>
        </w:pBdr>
        <w:spacing w:after="200" w:before="480"/>
      </w:pPr>
      <w:r>
        <w:rPr>
          <w:b/>
          <w:bCs/>
          <w:color w:val="0F3D3E"/>
          <w:sz w:val="30"/>
          <w:szCs w:val="30"/>
        </w:rPr>
        <w:t xml:space="preserve">11. Demografsko odporne mikroskupnosti</w:t>
      </w:r>
    </w:p>
    <w:p>
      <w:pPr>
        <w:spacing w:after="140" w:line="288"/>
      </w:pPr>
      <w:r>
        <w:rPr>
          <w:sz w:val="21"/>
          <w:szCs w:val="21"/>
        </w:rPr>
        <w:t xml:space="preserve">Namesto nadaljnje koncentracije prebivalstva izključno v dragih mestnih jedrih predlagamo preučitev usmerjenega naseljevanja na robovih Kopra, Izole, Pirana in Ankarana ter v zaledju — vendar ne kot klasične suburbanizacije.</w:t>
      </w:r>
    </w:p>
    <w:p>
      <w:pPr>
        <w:spacing w:after="120" w:line="288"/>
      </w:pPr>
      <w:r>
        <w:rPr>
          <w:b/>
          <w:bCs/>
          <w:color w:val="1553A0"/>
          <w:sz w:val="21"/>
          <w:szCs w:val="21"/>
        </w:rPr>
        <w:t xml:space="preserve">[INTERPRETACIJA] </w:t>
      </w:r>
      <w:r>
        <w:rPr>
          <w:sz w:val="21"/>
          <w:szCs w:val="21"/>
        </w:rPr>
        <w:t xml:space="preserve">Razlika je bistvena. Klasična suburbanizacija poveča odvisnost od avtomobila, razprši infrastrukturo in dolgoročno podraži občinske storitve na prebivalca. Predlagani model je nasproten: manjše, načrtovane skupnosti z lastnimi elementi odpornosti in obveznim javnim prevozom.</w:t>
      </w:r>
    </w:p>
    <w:p>
      <w:pPr>
        <w:pStyle w:val="Heading2"/>
        <w:spacing w:after="140" w:before="320"/>
      </w:pPr>
      <w:r>
        <w:rPr>
          <w:b/>
          <w:bCs/>
          <w:color w:val="146C74"/>
          <w:sz w:val="25"/>
          <w:szCs w:val="25"/>
        </w:rPr>
        <w:t xml:space="preserve">11.1 Možni elementi</w:t>
      </w:r>
    </w:p>
    <w:p>
      <w:pPr>
        <w:pStyle w:val="ListParagraph"/>
        <w:numPr>
          <w:ilvl w:val="0"/>
          <w:numId w:val="1"/>
        </w:numPr>
        <w:spacing w:after="80" w:line="276"/>
      </w:pPr>
      <w:r>
        <w:rPr>
          <w:sz w:val="21"/>
          <w:szCs w:val="21"/>
        </w:rPr>
        <w:t xml:space="preserve">Družinska stanovanja z manjšimi pridelovalnimi površinami, sadovnjaki in skupnostnimi vrtovi</w:t>
      </w:r>
    </w:p>
    <w:p>
      <w:pPr>
        <w:pStyle w:val="ListParagraph"/>
        <w:numPr>
          <w:ilvl w:val="0"/>
          <w:numId w:val="1"/>
        </w:numPr>
        <w:spacing w:after="80" w:line="276"/>
      </w:pPr>
      <w:r>
        <w:rPr>
          <w:sz w:val="21"/>
          <w:szCs w:val="21"/>
        </w:rPr>
        <w:t xml:space="preserve">Skupnostni rastlinjak in skupno orodje namesto posamičnega lastništva</w:t>
      </w:r>
    </w:p>
    <w:p>
      <w:pPr>
        <w:pStyle w:val="ListParagraph"/>
        <w:numPr>
          <w:ilvl w:val="0"/>
          <w:numId w:val="1"/>
        </w:numPr>
        <w:spacing w:after="80" w:line="276"/>
      </w:pPr>
      <w:r>
        <w:rPr>
          <w:sz w:val="21"/>
          <w:szCs w:val="21"/>
        </w:rPr>
        <w:t xml:space="preserve">Zbiranje deževnice in kompostiranje na ravni skupnosti</w:t>
      </w:r>
    </w:p>
    <w:p>
      <w:pPr>
        <w:pStyle w:val="ListParagraph"/>
        <w:numPr>
          <w:ilvl w:val="0"/>
          <w:numId w:val="1"/>
        </w:numPr>
        <w:spacing w:after="80" w:line="276"/>
      </w:pPr>
      <w:r>
        <w:rPr>
          <w:sz w:val="21"/>
          <w:szCs w:val="21"/>
        </w:rPr>
        <w:t xml:space="preserve">Sončna elektrarna s hranilnikom, vključena v regionalno energetsko skupnost</w:t>
      </w:r>
    </w:p>
    <w:p>
      <w:pPr>
        <w:pStyle w:val="ListParagraph"/>
        <w:numPr>
          <w:ilvl w:val="0"/>
          <w:numId w:val="1"/>
        </w:numPr>
        <w:spacing w:after="80" w:line="276"/>
      </w:pPr>
      <w:r>
        <w:rPr>
          <w:sz w:val="21"/>
          <w:szCs w:val="21"/>
        </w:rPr>
        <w:t xml:space="preserve">Skupni prostor za srečevanje in medgeneracijske dejavnosti</w:t>
      </w:r>
    </w:p>
    <w:p>
      <w:pPr>
        <w:pStyle w:val="ListParagraph"/>
        <w:numPr>
          <w:ilvl w:val="0"/>
          <w:numId w:val="1"/>
        </w:numPr>
        <w:spacing w:after="80" w:line="276"/>
      </w:pPr>
      <w:r>
        <w:rPr>
          <w:sz w:val="21"/>
          <w:szCs w:val="21"/>
        </w:rPr>
        <w:t xml:space="preserve">Zanesljiva internetna povezljivost in dostop do javnega prevoza</w:t>
      </w:r>
    </w:p>
    <w:p>
      <w:pPr>
        <w:pStyle w:val="Heading2"/>
        <w:spacing w:after="140" w:before="320"/>
      </w:pPr>
      <w:r>
        <w:rPr>
          <w:b/>
          <w:bCs/>
          <w:color w:val="146C74"/>
          <w:sz w:val="25"/>
          <w:szCs w:val="25"/>
        </w:rPr>
        <w:t xml:space="preserve">11.2 Pogoji, brez katerih predlog ne deluje</w:t>
      </w:r>
    </w:p>
    <w:p>
      <w:pPr>
        <w:spacing w:after="140" w:line="288"/>
      </w:pPr>
      <w:r>
        <w:rPr>
          <w:sz w:val="21"/>
          <w:szCs w:val="21"/>
        </w:rPr>
        <w:t xml:space="preserve">Ta model je privlačen na papirju in pogosto neuspešen v izvedbi. Zato navajamo pogoje, ki jih je treba izpolniti, sicer se predlog spremeni v navadno pozidavo zaledja.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Štirje pogoji</w:t>
            </w:r>
          </w:p>
          <w:p>
            <w:pPr>
              <w:spacing w:after="80" w:line="280"/>
            </w:pPr>
            <w:r>
              <w:rPr>
                <w:sz w:val="20"/>
                <w:szCs w:val="20"/>
              </w:rPr>
              <w:t xml:space="preserve">1. Javni prevoz mora obstajati od prvega dne, ne biti obljubljen za pozneje. Skupnost brez prevoza postane odvisna od avtomobila in izgubi večino demografskega smisla.</w:t>
            </w:r>
          </w:p>
          <w:p>
            <w:pPr>
              <w:spacing w:after="80" w:line="280"/>
            </w:pPr>
            <w:r>
              <w:rPr>
                <w:sz w:val="20"/>
                <w:szCs w:val="20"/>
              </w:rPr>
              <w:t xml:space="preserve">2. Naselitev ne sme posegati na kakovostna kmetijska zemljišča — sicer en cilj odpornosti (poselitev) uničuje drugega (hrana).</w:t>
            </w:r>
          </w:p>
          <w:p>
            <w:pPr>
              <w:spacing w:after="80" w:line="280"/>
            </w:pPr>
            <w:r>
              <w:rPr>
                <w:sz w:val="20"/>
                <w:szCs w:val="20"/>
              </w:rPr>
              <w:t xml:space="preserve">3. Skupnostni elementi (vrt, rastlinjak, orodje, prostor) morajo imeti vnaprej določenega upravljavca. Skupna lastnina brez upravljanja praviloma propade.</w:t>
            </w:r>
          </w:p>
          <w:p>
            <w:pPr>
              <w:spacing w:after="80" w:line="280"/>
            </w:pPr>
            <w:r>
              <w:rPr>
                <w:sz w:val="20"/>
                <w:szCs w:val="20"/>
              </w:rPr>
              <w:t xml:space="preserve">4. Stanovanja morajo biti zasnovana po načelu age-proof, ker se bodo prvi prebivalci v njih postarali.</w:t>
            </w:r>
          </w:p>
        </w:tc>
      </w:tr>
    </w:tbl>
    <w:p>
      <w:pPr>
        <w:spacing w:after="100"/>
      </w:pPr>
      <w:r>
        <w:rPr>
          <w:sz w:val="10"/>
          <w:szCs w:val="10"/>
        </w:rPr>
        <w:t xml:space="preserve"/>
      </w:r>
    </w:p>
    <w:p>
      <w:pPr>
        <w:spacing w:after="120" w:line="288"/>
      </w:pPr>
      <w:r>
        <w:rPr>
          <w:b/>
          <w:bCs/>
          <w:color w:val="9A6B00"/>
          <w:sz w:val="21"/>
          <w:szCs w:val="21"/>
        </w:rPr>
        <w:t xml:space="preserve">[HIPOTEZA] </w:t>
      </w:r>
      <w:r>
        <w:rPr>
          <w:sz w:val="21"/>
          <w:szCs w:val="21"/>
        </w:rPr>
        <w:t xml:space="preserve">Ali bi tak model v Slovenski Istri dejansko zadržal mlade družine, ni dokazano. Predlagamo, da se pred širšo uveljavitvijo izvede ena pilotna skupnost z jasnimi kazalniki spremljanja, ne pa več hkrati na podlagi pričakovanj.</w:t>
      </w:r>
    </w:p>
    <w:p>
      <w:r>
        <w:br w:type="page"/>
      </w:r>
    </w:p>
    <w:p>
      <w:pPr>
        <w:pStyle w:val="Heading1"/>
        <w:pBdr>
          <w:bottom w:val="single" w:color="0F3D3E" w:sz="8" w:space="4"/>
        </w:pBdr>
        <w:spacing w:after="200" w:before="480"/>
      </w:pPr>
      <w:r>
        <w:rPr>
          <w:b/>
          <w:bCs/>
          <w:color w:val="0F3D3E"/>
          <w:sz w:val="30"/>
          <w:szCs w:val="30"/>
        </w:rPr>
        <w:t xml:space="preserve">12. Kaj je izvedljivo v enem mandatu</w:t>
      </w:r>
    </w:p>
    <w:p>
      <w:pPr>
        <w:spacing w:after="140" w:line="288"/>
      </w:pPr>
      <w:r>
        <w:rPr>
          <w:sz w:val="21"/>
          <w:szCs w:val="21"/>
        </w:rPr>
        <w:t xml:space="preserve">Predlog, ki ga ni mogoče začeti v enem mandatu, ima majhno možnost, da bo sploh začet. Naslednja razvrstitev ločuje ukrepe po zahtevnosti, ne po pomembnosti.</w:t>
      </w:r>
    </w:p>
    <w:p>
      <w:pPr>
        <w:pStyle w:val="Heading2"/>
        <w:spacing w:after="140" w:before="320"/>
      </w:pPr>
      <w:r>
        <w:rPr>
          <w:b/>
          <w:bCs/>
          <w:color w:val="146C74"/>
          <w:sz w:val="25"/>
          <w:szCs w:val="25"/>
        </w:rPr>
        <w:t xml:space="preserve">12.1 Izvedljivo takoj, brez večjih stroškov</w:t>
      </w:r>
    </w:p>
    <w:p>
      <w:pPr>
        <w:pStyle w:val="ListParagraph"/>
        <w:numPr>
          <w:ilvl w:val="0"/>
          <w:numId w:val="1"/>
        </w:numPr>
        <w:spacing w:after="80" w:line="276"/>
      </w:pPr>
      <w:r>
        <w:rPr>
          <w:sz w:val="21"/>
          <w:szCs w:val="21"/>
        </w:rPr>
        <w:t xml:space="preserve">Pridobitev podatka o vodnih izgubah v omrežju Rižanskega vodovoda</w:t>
      </w:r>
    </w:p>
    <w:p>
      <w:pPr>
        <w:pStyle w:val="ListParagraph"/>
        <w:numPr>
          <w:ilvl w:val="0"/>
          <w:numId w:val="1"/>
        </w:numPr>
        <w:spacing w:after="80" w:line="276"/>
      </w:pPr>
      <w:r>
        <w:rPr>
          <w:sz w:val="21"/>
          <w:szCs w:val="21"/>
        </w:rPr>
        <w:t xml:space="preserve">Popis občinskih streh in degradiranih površin, primernih za sončne elektrarne</w:t>
      </w:r>
    </w:p>
    <w:p>
      <w:pPr>
        <w:pStyle w:val="ListParagraph"/>
        <w:numPr>
          <w:ilvl w:val="0"/>
          <w:numId w:val="1"/>
        </w:numPr>
        <w:spacing w:after="80" w:line="276"/>
      </w:pPr>
      <w:r>
        <w:rPr>
          <w:sz w:val="21"/>
          <w:szCs w:val="21"/>
        </w:rPr>
        <w:t xml:space="preserve">Pridobitev občinsko razčlenjenih podatkov o kmetijskih zemljiščih in pridelavi</w:t>
      </w:r>
    </w:p>
    <w:p>
      <w:pPr>
        <w:pStyle w:val="ListParagraph"/>
        <w:numPr>
          <w:ilvl w:val="0"/>
          <w:numId w:val="1"/>
        </w:numPr>
        <w:spacing w:after="80" w:line="276"/>
      </w:pPr>
      <w:r>
        <w:rPr>
          <w:sz w:val="21"/>
          <w:szCs w:val="21"/>
        </w:rPr>
        <w:t xml:space="preserve">Uvedba zahteve po načrtu delovanja ob izpadu za vsak nov digitalni sistem</w:t>
      </w:r>
    </w:p>
    <w:p>
      <w:pPr>
        <w:pStyle w:val="ListParagraph"/>
        <w:numPr>
          <w:ilvl w:val="0"/>
          <w:numId w:val="1"/>
        </w:numPr>
        <w:spacing w:after="80" w:line="276"/>
      </w:pPr>
      <w:r>
        <w:rPr>
          <w:sz w:val="21"/>
          <w:szCs w:val="21"/>
        </w:rPr>
        <w:t xml:space="preserve">Kontrolni seznam odpornosti in dostopnosti za javno sofinancirane stanovanjske projekte</w:t>
      </w:r>
    </w:p>
    <w:p>
      <w:pPr>
        <w:pStyle w:val="Heading2"/>
        <w:spacing w:after="140" w:before="320"/>
      </w:pPr>
      <w:r>
        <w:rPr>
          <w:b/>
          <w:bCs/>
          <w:color w:val="146C74"/>
          <w:sz w:val="25"/>
          <w:szCs w:val="25"/>
        </w:rPr>
        <w:t xml:space="preserve">12.2 Izvedljivo v enem mandatu ob politični odločitvi</w:t>
      </w:r>
    </w:p>
    <w:p>
      <w:pPr>
        <w:pStyle w:val="ListParagraph"/>
        <w:numPr>
          <w:ilvl w:val="0"/>
          <w:numId w:val="1"/>
        </w:numPr>
        <w:spacing w:after="80" w:line="276"/>
      </w:pPr>
      <w:r>
        <w:rPr>
          <w:sz w:val="21"/>
          <w:szCs w:val="21"/>
        </w:rPr>
        <w:t xml:space="preserve">Zaščita kmetijskih zemljišč v Regionalnem prostorskem planu (rok: sprejem do 1. januarja 2028)</w:t>
      </w:r>
    </w:p>
    <w:p>
      <w:pPr>
        <w:pStyle w:val="ListParagraph"/>
        <w:numPr>
          <w:ilvl w:val="0"/>
          <w:numId w:val="1"/>
        </w:numPr>
        <w:spacing w:after="80" w:line="276"/>
      </w:pPr>
      <w:r>
        <w:rPr>
          <w:sz w:val="21"/>
          <w:szCs w:val="21"/>
        </w:rPr>
        <w:t xml:space="preserve">Pilotna energetska skupnost na javnih stavbah štirih občin</w:t>
      </w:r>
    </w:p>
    <w:p>
      <w:pPr>
        <w:pStyle w:val="ListParagraph"/>
        <w:numPr>
          <w:ilvl w:val="0"/>
          <w:numId w:val="1"/>
        </w:numPr>
        <w:spacing w:after="80" w:line="276"/>
      </w:pPr>
      <w:r>
        <w:rPr>
          <w:sz w:val="21"/>
          <w:szCs w:val="21"/>
        </w:rPr>
        <w:t xml:space="preserve">Program zmanjševanja vodnih izgub na podlagi izmerjenega stanja</w:t>
      </w:r>
    </w:p>
    <w:p>
      <w:pPr>
        <w:pStyle w:val="ListParagraph"/>
        <w:numPr>
          <w:ilvl w:val="0"/>
          <w:numId w:val="1"/>
        </w:numPr>
        <w:spacing w:after="80" w:line="276"/>
      </w:pPr>
      <w:r>
        <w:rPr>
          <w:sz w:val="21"/>
          <w:szCs w:val="21"/>
        </w:rPr>
        <w:t xml:space="preserve">Povezava lokalnih pridelovalcev s šolami, vrtci in zavodi prek javnih naročil</w:t>
      </w:r>
    </w:p>
    <w:p>
      <w:pPr>
        <w:pStyle w:val="ListParagraph"/>
        <w:numPr>
          <w:ilvl w:val="0"/>
          <w:numId w:val="1"/>
        </w:numPr>
        <w:spacing w:after="80" w:line="276"/>
      </w:pPr>
      <w:r>
        <w:rPr>
          <w:sz w:val="21"/>
          <w:szCs w:val="21"/>
        </w:rPr>
        <w:t xml:space="preserve">Strokovna ocena izvedljivosti regionalnega kompostiranja</w:t>
      </w:r>
    </w:p>
    <w:p>
      <w:pPr>
        <w:pStyle w:val="Heading2"/>
        <w:spacing w:after="140" w:before="320"/>
      </w:pPr>
      <w:r>
        <w:rPr>
          <w:b/>
          <w:bCs/>
          <w:color w:val="146C74"/>
          <w:sz w:val="25"/>
          <w:szCs w:val="25"/>
        </w:rPr>
        <w:t xml:space="preserve">12.3 Zahteva več kot en mandat</w:t>
      </w:r>
    </w:p>
    <w:p>
      <w:pPr>
        <w:pStyle w:val="ListParagraph"/>
        <w:numPr>
          <w:ilvl w:val="0"/>
          <w:numId w:val="1"/>
        </w:numPr>
        <w:spacing w:after="80" w:line="276"/>
      </w:pPr>
      <w:r>
        <w:rPr>
          <w:sz w:val="21"/>
          <w:szCs w:val="21"/>
        </w:rPr>
        <w:t xml:space="preserve">Regionalna energetska skupnost v polnem obsegu, s hranilniki in upravljanjem porabe</w:t>
      </w:r>
    </w:p>
    <w:p>
      <w:pPr>
        <w:pStyle w:val="ListParagraph"/>
        <w:numPr>
          <w:ilvl w:val="0"/>
          <w:numId w:val="1"/>
        </w:numPr>
        <w:spacing w:after="80" w:line="276"/>
      </w:pPr>
      <w:r>
        <w:rPr>
          <w:sz w:val="21"/>
          <w:szCs w:val="21"/>
        </w:rPr>
        <w:t xml:space="preserve">Novi vodni viri ali večje akumulacije</w:t>
      </w:r>
    </w:p>
    <w:p>
      <w:pPr>
        <w:pStyle w:val="ListParagraph"/>
        <w:numPr>
          <w:ilvl w:val="0"/>
          <w:numId w:val="1"/>
        </w:numPr>
        <w:spacing w:after="80" w:line="276"/>
      </w:pPr>
      <w:r>
        <w:rPr>
          <w:sz w:val="21"/>
          <w:szCs w:val="21"/>
        </w:rPr>
        <w:t xml:space="preserve">Pilotna demografsko odporna mikroskupnost od načrtovanja do naselitve</w:t>
      </w:r>
    </w:p>
    <w:p>
      <w:pPr>
        <w:pStyle w:val="ListParagraph"/>
        <w:numPr>
          <w:ilvl w:val="0"/>
          <w:numId w:val="1"/>
        </w:numPr>
        <w:spacing w:after="80" w:line="276"/>
      </w:pPr>
      <w:r>
        <w:rPr>
          <w:sz w:val="21"/>
          <w:szCs w:val="21"/>
        </w:rPr>
        <w:t xml:space="preserve">Razvoj izvozljivih longevity storitev v obsegu, ki gospodarsko šteje</w:t>
      </w:r>
    </w:p>
    <w:p>
      <w:pPr>
        <w:pStyle w:val="Heading2"/>
        <w:spacing w:after="140" w:before="320"/>
      </w:pPr>
      <w:r>
        <w:rPr>
          <w:b/>
          <w:bCs/>
          <w:color w:val="146C74"/>
          <w:sz w:val="25"/>
          <w:szCs w:val="25"/>
        </w:rPr>
        <w:t xml:space="preserve">12.4 Razvrstitev po učinku in zahtevnosti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700"/>
        <w:gridCol w:w="1700"/>
        <w:gridCol w:w="3000"/>
        <w:gridCol w:w="1600"/>
      </w:tblGrid>
      <w:tr>
        <w:trPr>
          <w:tblHeader/>
        </w:trPr>
        <w:tc>
          <w:tcPr>
            <w:tcW w:type="dxa" w:w="27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Ukrep</w:t>
            </w:r>
          </w:p>
        </w:tc>
        <w:tc>
          <w:tcPr>
            <w:tcW w:type="dxa" w:w="17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Zahtevnost</w:t>
            </w:r>
          </w:p>
        </w:tc>
        <w:tc>
          <w:tcPr>
            <w:tcW w:type="dxa" w:w="30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Pričakovani učinek na odpornost</w:t>
            </w:r>
          </w:p>
        </w:tc>
        <w:tc>
          <w:tcPr>
            <w:tcW w:type="dxa" w:w="1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Rok</w:t>
            </w:r>
          </w:p>
        </w:tc>
      </w:tr>
      <w:tr>
        <w:tc>
          <w:tcPr>
            <w:tcW w:type="dxa" w:w="2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Meritev in zmanjšanje vodnih izgub</w:t>
            </w:r>
          </w:p>
        </w:tc>
        <w:tc>
          <w:tcPr>
            <w:tcW w:type="dxa" w:w="1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Nizka do srednja</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 — največ pridobljene vode na vložen evro</w:t>
            </w:r>
          </w:p>
        </w:tc>
        <w:tc>
          <w:tcPr>
            <w:tcW w:type="dxa" w:w="1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Začeti takoj</w:t>
            </w:r>
          </w:p>
        </w:tc>
      </w:tr>
      <w:tr>
        <w:tc>
          <w:tcPr>
            <w:tcW w:type="dxa" w:w="2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Zaščita kmetijskih zemljišč v RPP</w:t>
            </w:r>
          </w:p>
        </w:tc>
        <w:tc>
          <w:tcPr>
            <w:tcW w:type="dxa" w:w="1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Nizka (odločitev), a časovno vezana</w:t>
            </w:r>
          </w:p>
        </w:tc>
        <w:tc>
          <w:tcPr>
            <w:tcW w:type="dxa" w:w="3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 in nepovraten, če se zamudi</w:t>
            </w:r>
          </w:p>
        </w:tc>
        <w:tc>
          <w:tcPr>
            <w:tcW w:type="dxa" w:w="1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Do 1. 1. 2028</w:t>
            </w:r>
          </w:p>
        </w:tc>
      </w:tr>
      <w:tr>
        <w:tc>
          <w:tcPr>
            <w:tcW w:type="dxa" w:w="2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Pilotna energetska skupnost</w:t>
            </w:r>
          </w:p>
        </w:tc>
        <w:tc>
          <w:tcPr>
            <w:tcW w:type="dxa" w:w="1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Srednji takoj, visok ob širitvi</w:t>
            </w:r>
          </w:p>
        </w:tc>
        <w:tc>
          <w:tcPr>
            <w:tcW w:type="dxa" w:w="1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1–2 leti</w:t>
            </w:r>
          </w:p>
        </w:tc>
      </w:tr>
      <w:tr>
        <w:tc>
          <w:tcPr>
            <w:tcW w:type="dxa" w:w="2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Kratke prehranske verige do zavodov</w:t>
            </w:r>
          </w:p>
        </w:tc>
        <w:tc>
          <w:tcPr>
            <w:tcW w:type="dxa" w:w="1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w:t>
            </w:r>
          </w:p>
        </w:tc>
        <w:tc>
          <w:tcPr>
            <w:tcW w:type="dxa" w:w="3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Srednji, a stabilen</w:t>
            </w:r>
          </w:p>
        </w:tc>
        <w:tc>
          <w:tcPr>
            <w:tcW w:type="dxa" w:w="1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1–3 leta</w:t>
            </w:r>
          </w:p>
        </w:tc>
      </w:tr>
      <w:tr>
        <w:tc>
          <w:tcPr>
            <w:tcW w:type="dxa" w:w="2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Načrti delovanja ob izpadu</w:t>
            </w:r>
          </w:p>
        </w:tc>
        <w:tc>
          <w:tcPr>
            <w:tcW w:type="dxa" w:w="1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Zelo nizka</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Srednji, preprečuje velike izpade</w:t>
            </w:r>
          </w:p>
        </w:tc>
        <w:tc>
          <w:tcPr>
            <w:tcW w:type="dxa" w:w="1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Takoj</w:t>
            </w:r>
          </w:p>
        </w:tc>
      </w:tr>
      <w:tr>
        <w:tc>
          <w:tcPr>
            <w:tcW w:type="dxa" w:w="2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Regionalno kompostiranje</w:t>
            </w:r>
          </w:p>
        </w:tc>
        <w:tc>
          <w:tcPr>
            <w:tcW w:type="dxa" w:w="1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Visoka</w:t>
            </w:r>
          </w:p>
        </w:tc>
        <w:tc>
          <w:tcPr>
            <w:tcW w:type="dxa" w:w="3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Srednji</w:t>
            </w:r>
          </w:p>
        </w:tc>
        <w:tc>
          <w:tcPr>
            <w:tcW w:type="dxa" w:w="1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 let</w:t>
            </w:r>
          </w:p>
        </w:tc>
      </w:tr>
      <w:tr>
        <w:tc>
          <w:tcPr>
            <w:tcW w:type="dxa" w:w="2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Mikroskupnost (pilot)</w:t>
            </w:r>
          </w:p>
        </w:tc>
        <w:tc>
          <w:tcPr>
            <w:tcW w:type="dxa" w:w="1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Visoka</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Nejasen — zato pilot</w:t>
            </w:r>
          </w:p>
        </w:tc>
        <w:tc>
          <w:tcPr>
            <w:tcW w:type="dxa" w:w="1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 let</w:t>
            </w:r>
          </w:p>
        </w:tc>
      </w:tr>
    </w:tbl>
    <w:p>
      <w:r>
        <w:br w:type="page"/>
      </w:r>
    </w:p>
    <w:p>
      <w:pPr>
        <w:pStyle w:val="Heading1"/>
        <w:pBdr>
          <w:bottom w:val="single" w:color="0F3D3E" w:sz="8" w:space="4"/>
        </w:pBdr>
        <w:spacing w:after="200" w:before="480"/>
      </w:pPr>
      <w:r>
        <w:rPr>
          <w:b/>
          <w:bCs/>
          <w:color w:val="0F3D3E"/>
          <w:sz w:val="30"/>
          <w:szCs w:val="30"/>
        </w:rPr>
        <w:t xml:space="preserve">13. Cena neukrepanja</w:t>
      </w:r>
    </w:p>
    <w:p>
      <w:pPr>
        <w:spacing w:after="140" w:line="288"/>
      </w:pPr>
      <w:r>
        <w:rPr>
          <w:sz w:val="21"/>
          <w:szCs w:val="21"/>
        </w:rPr>
        <w:t xml:space="preserve">Pri sistemih z dolgim odzivnim časom neukrepanje ni nevtralno stanje, ampak izbira ene od možnih prihodnosti — sprejeta tiho in brez javne razprave.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300"/>
        <w:gridCol w:w="2500"/>
        <w:gridCol w:w="2600"/>
        <w:gridCol w:w="2600"/>
      </w:tblGrid>
      <w:tr>
        <w:trPr>
          <w:tblHeader/>
        </w:trPr>
        <w:tc>
          <w:tcPr>
            <w:tcW w:type="dxa" w:w="13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Sistem</w:t>
            </w:r>
          </w:p>
        </w:tc>
        <w:tc>
          <w:tcPr>
            <w:tcW w:type="dxa" w:w="25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Čez 5 let (2031)</w:t>
            </w:r>
          </w:p>
        </w:tc>
        <w:tc>
          <w:tcPr>
            <w:tcW w:type="dxa" w:w="2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Čez 10 let (2036)</w:t>
            </w:r>
          </w:p>
        </w:tc>
        <w:tc>
          <w:tcPr>
            <w:tcW w:type="dxa" w:w="2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Čez 25 let (2051)</w:t>
            </w:r>
          </w:p>
        </w:tc>
      </w:tr>
      <w:tr>
        <w:tc>
          <w:tcPr>
            <w:tcW w:type="dxa" w:w="13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Voda</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Poletne omejitve porabe se ponavljajo pogosteje; izgube ostajajo neizmerjene</w:t>
            </w:r>
          </w:p>
        </w:tc>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Vodna oskrba postane omejitveni dejavnik za gradnjo in gospodarski razvoj, ne le za kmetijstvo</w:t>
            </w:r>
          </w:p>
        </w:tc>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Vodna negotovost je lahko eden glavnih razlogov proti naselitvi mladih družin</w:t>
            </w:r>
          </w:p>
        </w:tc>
      </w:tr>
      <w:tr>
        <w:tc>
          <w:tcPr>
            <w:tcW w:type="dxa" w:w="13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Energija</w:t>
            </w:r>
          </w:p>
        </w:tc>
        <w:tc>
          <w:tcPr>
            <w:tcW w:type="dxa" w:w="2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Gospodinjstva ostajajo v celoti izpostavljena cenovnim nihanjem</w:t>
            </w:r>
          </w:p>
        </w:tc>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Poletna konica porabe zaradi hlajenja narašča brez lokalne proizvodnje, ki bi jo blažila</w:t>
            </w:r>
          </w:p>
        </w:tc>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Regija brez alternativnih virov je občutno bolj izpostavljena dolgotrajnim šokom</w:t>
            </w:r>
          </w:p>
        </w:tc>
      </w:tr>
      <w:tr>
        <w:tc>
          <w:tcPr>
            <w:tcW w:type="dxa" w:w="13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Hrana</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Kmetijska zemljišča se še naprej izgubljajo, brez evidence o obsegu</w:t>
            </w:r>
          </w:p>
        </w:tc>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Prostorske odločitve so sprejete; zemljišča so nepovratno pozidana</w:t>
            </w:r>
          </w:p>
        </w:tc>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Lokalna pridelava je omejena na to, kar je ostalo — brez možnosti popravka</w:t>
            </w:r>
          </w:p>
        </w:tc>
      </w:tr>
      <w:tr>
        <w:tc>
          <w:tcPr>
            <w:tcW w:type="dxa" w:w="13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Bivanje</w:t>
            </w:r>
          </w:p>
        </w:tc>
        <w:tc>
          <w:tcPr>
            <w:tcW w:type="dxa" w:w="2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Zgrajena so stanovanja brez upoštevanja vročine in dostopnosti</w:t>
            </w:r>
          </w:p>
        </w:tc>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Prve prilagoditve so potrebne, a bistveno dražje kot ob gradnji</w:t>
            </w:r>
          </w:p>
        </w:tc>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Del stavbnega fonda je neprimeren za starejšo populacijo, ki v njem živi</w:t>
            </w:r>
          </w:p>
        </w:tc>
      </w:tr>
      <w:tr>
        <w:tc>
          <w:tcPr>
            <w:tcW w:type="dxa" w:w="13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Digitalno</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Sistemi se uvajajo brez načrtov delovanja ob izpadu</w:t>
            </w:r>
          </w:p>
        </w:tc>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Odvisnost od posameznih ponudnikov in posameznikov je vgrajena</w:t>
            </w:r>
          </w:p>
        </w:tc>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Motnja digitalnega sistema ogrozi upravljanje vode in energije hkrati</w:t>
            </w:r>
          </w:p>
        </w:tc>
      </w:tr>
    </w:tbl>
    <w:p>
      <w:pPr>
        <w:spacing w:after="120" w:line="288"/>
      </w:pPr>
      <w:r>
        <w:rPr>
          <w:b/>
          <w:bCs/>
          <w:color w:val="1553A0"/>
          <w:sz w:val="21"/>
          <w:szCs w:val="21"/>
        </w:rPr>
        <w:t xml:space="preserve">[INTERPRETACIJA] </w:t>
      </w:r>
      <w:r>
        <w:rPr>
          <w:sz w:val="21"/>
          <w:szCs w:val="21"/>
        </w:rPr>
        <w:t xml:space="preserve">Namen te tabele ni prestrašiti. Je pokazati, da se stroški zamika po sistemih razlikujejo. Pri vodi je zamik drag, a načeloma popravljiv. Pri kmetijskih zemljiščih in stavbnem fondu je zamik v veliki meri nepovraten — in prav zato sta ti dve področji v 12. poglavju uvrščeni med prednostne, čeprav nista politično najbolj vidni.</w:t>
      </w:r>
    </w:p>
    <w:p>
      <w:r>
        <w:br w:type="page"/>
      </w:r>
    </w:p>
    <w:p>
      <w:pPr>
        <w:pStyle w:val="Heading1"/>
        <w:pBdr>
          <w:bottom w:val="single" w:color="0F3D3E" w:sz="8" w:space="4"/>
        </w:pBdr>
        <w:spacing w:after="200" w:before="480"/>
      </w:pPr>
      <w:r>
        <w:rPr>
          <w:b/>
          <w:bCs/>
          <w:color w:val="0F3D3E"/>
          <w:sz w:val="30"/>
          <w:szCs w:val="30"/>
        </w:rPr>
        <w:t xml:space="preserve">14. Kako preveriti vsak predlog</w:t>
      </w:r>
    </w:p>
    <w:p>
      <w:pPr>
        <w:spacing w:after="140" w:line="288"/>
      </w:pPr>
      <w:r>
        <w:rPr>
          <w:sz w:val="21"/>
          <w:szCs w:val="21"/>
        </w:rPr>
        <w:t xml:space="preserve">Predlogi iz tega dokumenta niso izvzeti iz presoje, ki jo IDP predlaga za vse večje odločitve. Nasprotno — prav zato, ker gre za predloge inštituta, jih je treba presojati enako strogo kot vse druge.</w:t>
      </w:r>
    </w:p>
    <w:p>
      <w:pPr>
        <w:pStyle w:val="Heading2"/>
        <w:spacing w:after="140" w:before="320"/>
      </w:pPr>
      <w:r>
        <w:rPr>
          <w:b/>
          <w:bCs/>
          <w:color w:val="146C74"/>
          <w:sz w:val="25"/>
          <w:szCs w:val="25"/>
        </w:rPr>
        <w:t xml:space="preserve">14.1 Demografski monokel DM-2050</w:t>
      </w:r>
    </w:p>
    <w:p>
      <w:pPr>
        <w:pBdr>
          <w:left w:val="single" w:color="8C6D31" w:sz="16" w:space="8"/>
        </w:pBdr>
        <w:spacing w:after="200" w:before="100"/>
        <w:ind w:left="400"/>
      </w:pPr>
      <w:r>
        <w:rPr>
          <w:i/>
          <w:iCs/>
          <w:color w:val="0F3D3E"/>
          <w:sz w:val="21"/>
          <w:szCs w:val="21"/>
        </w:rPr>
        <w:t xml:space="preserve">Pred vsako večjo javno, gospodarsko, prostorsko ali infrastrukturno odločitvijo vprašaj: kako bo ta odločitev vplivala na ljudi, ki bodo tukaj živeli leta 2035, 2050 in 2070?</w:t>
      </w:r>
    </w:p>
    <w:p>
      <w:pPr>
        <w:spacing w:after="140" w:line="288"/>
      </w:pPr>
      <w:r>
        <w:rPr>
          <w:sz w:val="21"/>
          <w:szCs w:val="21"/>
        </w:rPr>
        <w:t xml:space="preserve">Metodologija DM-2050 z dvanajstimi področji presoje je podrobno opisana v prilogi A Dokumenta 1. Za predloge iz tega dokumenta so še posebej pomembna štiri vprašanja.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5600"/>
      </w:tblGrid>
      <w:tr>
        <w:trPr>
          <w:tblHeader/>
        </w:trPr>
        <w:tc>
          <w:tcPr>
            <w:tcW w:type="dxa" w:w="3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Vprašanje</w:t>
            </w:r>
          </w:p>
        </w:tc>
        <w:tc>
          <w:tcPr>
            <w:tcW w:type="dxa" w:w="5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Zakaj je pri predlogih o odpornosti kritično</w:t>
            </w:r>
          </w:p>
        </w:tc>
      </w:tr>
      <w:tr>
        <w:tc>
          <w:tcPr>
            <w:tcW w:type="dxa" w:w="3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pomaga zadržati ali pridobiti prebivalstvo?</w:t>
            </w:r>
          </w:p>
        </w:tc>
        <w:tc>
          <w:tcPr>
            <w:tcW w:type="dxa" w:w="5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Ukrepi odpornosti, ki podražijo bivanje, lahko demografsko škodujejo, tudi če sistemsko koristijo</w:t>
            </w:r>
          </w:p>
        </w:tc>
      </w:tr>
      <w:tr>
        <w:tc>
          <w:tcPr>
            <w:tcW w:type="dxa" w:w="3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je prilagojeno starejši populaciji?</w:t>
            </w:r>
          </w:p>
        </w:tc>
        <w:tc>
          <w:tcPr>
            <w:tcW w:type="dxa" w:w="5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Starejši so ob vročini, izpadu energije in slabi mobilnosti najbolj ranljivi</w:t>
            </w:r>
          </w:p>
        </w:tc>
      </w:tr>
      <w:tr>
        <w:tc>
          <w:tcPr>
            <w:tcW w:type="dxa" w:w="3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ima več smisla skupno kot občinsko?</w:t>
            </w:r>
          </w:p>
        </w:tc>
        <w:tc>
          <w:tcPr>
            <w:tcW w:type="dxa" w:w="5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Večina predlogov v tem dokumentu ima minimalno smiselno velikost, večjo od ene občine</w:t>
            </w:r>
          </w:p>
        </w:tc>
      </w:tr>
      <w:tr>
        <w:tc>
          <w:tcPr>
            <w:tcW w:type="dxa" w:w="3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bo odločitev smiselna tudi čez 25 let?</w:t>
            </w:r>
          </w:p>
        </w:tc>
        <w:tc>
          <w:tcPr>
            <w:tcW w:type="dxa" w:w="5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Prostorske in gradbene odločitve so v tem obdobju praktično nepovratne</w:t>
            </w:r>
          </w:p>
        </w:tc>
      </w:tr>
    </w:tbl>
    <w:p>
      <w:pPr>
        <w:pStyle w:val="Heading2"/>
        <w:spacing w:after="140" w:before="320"/>
      </w:pPr>
      <w:r>
        <w:rPr>
          <w:b/>
          <w:bCs/>
          <w:color w:val="146C74"/>
          <w:sz w:val="25"/>
          <w:szCs w:val="25"/>
        </w:rPr>
        <w:t xml:space="preserve">14.2 Trije testi odpornosti</w:t>
      </w:r>
    </w:p>
    <w:p>
      <w:pPr>
        <w:spacing w:after="140" w:line="288"/>
      </w:pPr>
      <w:r>
        <w:rPr>
          <w:sz w:val="21"/>
          <w:szCs w:val="21"/>
        </w:rPr>
        <w:t xml:space="preserve">Poleg demografskega monokla naj vsak predlog prestane tri teste iz 1. poglavja: kritičnost, nadomestljivost in čas okrevanja. Predlog, ki ne izboljša nobenega od teh treh, morda povečuje zmogljivost ali udobje, ne pa odpornosti.</w:t>
      </w:r>
    </w:p>
    <w:p>
      <w:pPr>
        <w:pStyle w:val="Heading2"/>
        <w:spacing w:after="140" w:before="320"/>
      </w:pPr>
      <w:r>
        <w:rPr>
          <w:b/>
          <w:bCs/>
          <w:color w:val="146C74"/>
          <w:sz w:val="25"/>
          <w:szCs w:val="25"/>
        </w:rPr>
        <w:t xml:space="preserve">14.3 Zaključno vprašanje</w:t>
      </w:r>
    </w:p>
    <w:p>
      <w:pPr>
        <w:pBdr>
          <w:left w:val="single" w:color="8C6D31" w:sz="16" w:space="8"/>
        </w:pBdr>
        <w:spacing w:after="200" w:before="100"/>
        <w:ind w:left="400"/>
      </w:pPr>
      <w:r>
        <w:rPr>
          <w:i/>
          <w:iCs/>
          <w:color w:val="0F3D3E"/>
          <w:sz w:val="21"/>
          <w:szCs w:val="21"/>
        </w:rPr>
        <w:t xml:space="preserve">Ali današnje odločitve povečujejo ali zmanjšujejo sposobnost Slovenske Istre, da bo leta 2050 dobro okolje za otroke, družine, aktivne ljudi in starejše generacije?</w:t>
      </w:r>
    </w:p>
    <w:p>
      <w:r>
        <w:br w:type="page"/>
      </w:r>
    </w:p>
    <w:p>
      <w:pPr>
        <w:pStyle w:val="Heading1"/>
        <w:pBdr>
          <w:bottom w:val="single" w:color="0F3D3E" w:sz="8" w:space="4"/>
        </w:pBdr>
        <w:spacing w:after="200" w:before="480"/>
      </w:pPr>
      <w:r>
        <w:rPr>
          <w:b/>
          <w:bCs/>
          <w:color w:val="0F3D3E"/>
          <w:sz w:val="30"/>
          <w:szCs w:val="30"/>
        </w:rPr>
        <w:t xml:space="preserve">Priloga — Viri in omejitve</w:t>
      </w:r>
    </w:p>
    <w:p>
      <w:pPr>
        <w:pStyle w:val="Heading2"/>
        <w:spacing w:after="140" w:before="320"/>
      </w:pPr>
      <w:r>
        <w:rPr>
          <w:b/>
          <w:bCs/>
          <w:color w:val="146C74"/>
          <w:sz w:val="25"/>
          <w:szCs w:val="25"/>
        </w:rPr>
        <w:t xml:space="preserve">Kaj v tem dokumentu ni preverjeno</w:t>
      </w:r>
    </w:p>
    <w:p>
      <w:pPr>
        <w:pStyle w:val="ListParagraph"/>
        <w:numPr>
          <w:ilvl w:val="0"/>
          <w:numId w:val="1"/>
        </w:numPr>
        <w:spacing w:after="80" w:line="276"/>
      </w:pPr>
      <w:r>
        <w:rPr>
          <w:sz w:val="21"/>
          <w:szCs w:val="21"/>
        </w:rPr>
        <w:t xml:space="preserve">Odstotek vodnih izgub v omrežju Rižanskega vodovoda — najpomembnejša manjkajoča številka celotnega dokumenta.</w:t>
      </w:r>
    </w:p>
    <w:p>
      <w:pPr>
        <w:pStyle w:val="ListParagraph"/>
        <w:numPr>
          <w:ilvl w:val="0"/>
          <w:numId w:val="1"/>
        </w:numPr>
        <w:spacing w:after="80" w:line="276"/>
      </w:pPr>
      <w:r>
        <w:rPr>
          <w:sz w:val="21"/>
          <w:szCs w:val="21"/>
        </w:rPr>
        <w:t xml:space="preserve">Občinsko razčlenjeni podatki o kmetijskih zemljiščih, oljkarstvu, vinogradništvu in zelenjadarstvu v štirih občinah.</w:t>
      </w:r>
    </w:p>
    <w:p>
      <w:pPr>
        <w:pStyle w:val="ListParagraph"/>
        <w:numPr>
          <w:ilvl w:val="0"/>
          <w:numId w:val="1"/>
        </w:numPr>
        <w:spacing w:after="80" w:line="276"/>
      </w:pPr>
      <w:r>
        <w:rPr>
          <w:sz w:val="21"/>
          <w:szCs w:val="21"/>
        </w:rPr>
        <w:t xml:space="preserve">Podatki o tokovih gradbenih in drugih materialov v regiji.</w:t>
      </w:r>
    </w:p>
    <w:p>
      <w:pPr>
        <w:pStyle w:val="ListParagraph"/>
        <w:numPr>
          <w:ilvl w:val="0"/>
          <w:numId w:val="1"/>
        </w:numPr>
        <w:spacing w:after="80" w:line="276"/>
      </w:pPr>
      <w:r>
        <w:rPr>
          <w:sz w:val="21"/>
          <w:szCs w:val="21"/>
        </w:rPr>
        <w:t xml:space="preserve">Količine bioloških odpadkov in obstoječe zmogljivosti kompostiranja v štirih občinah.</w:t>
      </w:r>
    </w:p>
    <w:p>
      <w:pPr>
        <w:pStyle w:val="ListParagraph"/>
        <w:numPr>
          <w:ilvl w:val="0"/>
          <w:numId w:val="1"/>
        </w:numPr>
        <w:spacing w:after="80" w:line="276"/>
      </w:pPr>
      <w:r>
        <w:rPr>
          <w:sz w:val="21"/>
          <w:szCs w:val="21"/>
        </w:rPr>
        <w:t xml:space="preserve">Ocena stroškov katerega koli od predlaganih ukrepov — dokument namenoma ne navaja zneskov, ker jih brez strokovnih ocen ni mogoče odgovorno navesti.</w:t>
      </w:r>
    </w:p>
    <w:p>
      <w:pPr>
        <w:pStyle w:val="ListParagraph"/>
        <w:numPr>
          <w:ilvl w:val="0"/>
          <w:numId w:val="1"/>
        </w:numPr>
        <w:spacing w:after="80" w:line="276"/>
      </w:pPr>
      <w:r>
        <w:rPr>
          <w:sz w:val="21"/>
          <w:szCs w:val="21"/>
        </w:rPr>
        <w:t xml:space="preserve">Regionalno razčlenjeni podatki o energetski porabi in proizvodnji za Slovensko Istro.</w:t>
      </w:r>
    </w:p>
    <w:p>
      <w:pPr>
        <w:pStyle w:val="Heading2"/>
        <w:spacing w:after="140" w:before="320"/>
      </w:pPr>
      <w:r>
        <w:rPr>
          <w:b/>
          <w:bCs/>
          <w:color w:val="146C74"/>
          <w:sz w:val="25"/>
          <w:szCs w:val="25"/>
        </w:rPr>
        <w:t xml:space="preserve">Nacionalni in evropski viri</w:t>
      </w:r>
    </w:p>
    <w:p>
      <w:pPr>
        <w:pStyle w:val="ListParagraph"/>
        <w:numPr>
          <w:ilvl w:val="0"/>
          <w:numId w:val="1"/>
        </w:numPr>
        <w:spacing w:after="80" w:line="276"/>
      </w:pPr>
      <w:r>
        <w:rPr>
          <w:sz w:val="21"/>
          <w:szCs w:val="21"/>
        </w:rPr>
        <w:t xml:space="preserve">UMAR: Prehranska varnost in samooskrba — analiza tehnične učinkovitosti slovenskih kmetij (Kratke analize, 2026), na podlagi podatkov SURS.</w:t>
      </w:r>
    </w:p>
    <w:p>
      <w:pPr>
        <w:pStyle w:val="ListParagraph"/>
        <w:numPr>
          <w:ilvl w:val="0"/>
          <w:numId w:val="1"/>
        </w:numPr>
        <w:spacing w:after="80" w:line="276"/>
      </w:pPr>
      <w:r>
        <w:rPr>
          <w:sz w:val="21"/>
          <w:szCs w:val="21"/>
        </w:rPr>
        <w:t xml:space="preserve">SURS: Bilance proizvodnje in potrošnje kmetijskih proizvodov 2024; Energetska statistika 2024 (objava 7. oktobra 2025); statistika voda za leto 2024.</w:t>
      </w:r>
    </w:p>
    <w:p>
      <w:pPr>
        <w:pStyle w:val="ListParagraph"/>
        <w:numPr>
          <w:ilvl w:val="0"/>
          <w:numId w:val="1"/>
        </w:numPr>
        <w:spacing w:after="80" w:line="276"/>
      </w:pPr>
      <w:r>
        <w:rPr>
          <w:sz w:val="21"/>
          <w:szCs w:val="21"/>
        </w:rPr>
        <w:t>Ministrstvo za okolje, podnebje in energijo, Portal Energetika: podatki o sončni energiji in skupnostni samooskrbi (30. januar 2026); energetska odvisnost 2024.</w:t>
      </w:r>
    </w:p>
    <w:p>
      <w:pPr>
        <w:pStyle w:val="ListParagraph"/>
        <w:numPr>
          <w:ilvl w:val="0"/>
          <w:numId w:val="1"/>
        </w:numPr>
        <w:spacing w:after="80" w:line="276"/>
      </w:pPr>
      <w:r>
        <w:rPr>
          <w:sz w:val="21"/>
          <w:szCs w:val="21"/>
        </w:rPr>
        <w:t xml:space="preserve">ARSO: Ocena podnebnih sprememb v Sloveniji do konca 21. stoletja (OPS21); okoljski kazalci.</w:t>
      </w:r>
    </w:p>
    <w:p>
      <w:pPr>
        <w:pStyle w:val="ListParagraph"/>
        <w:numPr>
          <w:ilvl w:val="0"/>
          <w:numId w:val="1"/>
        </w:numPr>
        <w:spacing w:after="80" w:line="276"/>
      </w:pPr>
      <w:r>
        <w:rPr>
          <w:sz w:val="21"/>
          <w:szCs w:val="21"/>
        </w:rPr>
        <w:t xml:space="preserve">Uradni list RS: Energetski zakon (EZ-2, 2024); Zakon o oskrbi z električno energijo (ZOEE).</w:t>
      </w:r>
    </w:p>
    <w:p>
      <w:pPr>
        <w:pStyle w:val="Heading2"/>
        <w:spacing w:after="140" w:before="320"/>
      </w:pPr>
      <w:r>
        <w:rPr>
          <w:b/>
          <w:bCs/>
          <w:color w:val="146C74"/>
          <w:sz w:val="25"/>
          <w:szCs w:val="25"/>
        </w:rPr>
        <w:t xml:space="preserve">Regionalni in lokalni viri</w:t>
      </w:r>
    </w:p>
    <w:p>
      <w:pPr>
        <w:pStyle w:val="ListParagraph"/>
        <w:numPr>
          <w:ilvl w:val="0"/>
          <w:numId w:val="1"/>
        </w:numPr>
        <w:spacing w:after="80" w:line="276"/>
      </w:pPr>
      <w:r>
        <w:rPr>
          <w:sz w:val="21"/>
          <w:szCs w:val="21"/>
        </w:rPr>
        <w:t xml:space="preserve">Rižanski vodovod Koper d.o.o.: javna sporočila o stanju vodnih virov (2025–2026).</w:t>
      </w:r>
    </w:p>
    <w:p>
      <w:pPr>
        <w:pStyle w:val="ListParagraph"/>
        <w:numPr>
          <w:ilvl w:val="0"/>
          <w:numId w:val="1"/>
        </w:numPr>
        <w:spacing w:after="80" w:line="276"/>
      </w:pPr>
      <w:r>
        <w:rPr>
          <w:sz w:val="21"/>
          <w:szCs w:val="21"/>
        </w:rPr>
        <w:t xml:space="preserve">Regionalni razvojni center Koper: Regionalni prostorski plan Obalno-Kraške razvojne regije — javno posvetovanje 20. junij–31. julij 2026, zakonski rok za sprejem do 1. januarja 2028.</w:t>
      </w:r>
    </w:p>
    <w:p>
      <w:pPr>
        <w:pStyle w:val="ListParagraph"/>
        <w:numPr>
          <w:ilvl w:val="0"/>
          <w:numId w:val="1"/>
        </w:numPr>
        <w:spacing w:after="80" w:line="276"/>
      </w:pPr>
      <w:r>
        <w:rPr>
          <w:sz w:val="21"/>
          <w:szCs w:val="21"/>
        </w:rPr>
        <w:t xml:space="preserve">Znanstveno-raziskovalno središče Koper: razvojne usmeritve Mestne občine Koper do leta 2050 (junij 2026).</w:t>
      </w:r>
    </w:p>
    <w:p>
      <w:pPr>
        <w:pStyle w:val="Heading2"/>
        <w:spacing w:after="140" w:before="320"/>
      </w:pPr>
      <w:r>
        <w:rPr>
          <w:b/>
          <w:bCs/>
          <w:color w:val="146C74"/>
          <w:sz w:val="25"/>
          <w:szCs w:val="25"/>
        </w:rPr>
        <w:t xml:space="preserve">Gradiva IDP</w:t>
      </w:r>
    </w:p>
    <w:p>
      <w:pPr>
        <w:pStyle w:val="ListParagraph"/>
        <w:numPr>
          <w:ilvl w:val="0"/>
          <w:numId w:val="1"/>
        </w:numPr>
        <w:spacing w:after="80" w:line="276"/>
      </w:pPr>
      <w:r>
        <w:rPr>
          <w:sz w:val="21"/>
          <w:szCs w:val="21"/>
        </w:rPr>
        <w:t xml:space="preserve">IDP: Demografski paradoks Slovenske Istre — Dokument 1 (avgust 2026).</w:t>
      </w:r>
    </w:p>
    <w:p>
      <w:pPr>
        <w:pStyle w:val="ListParagraph"/>
        <w:numPr>
          <w:ilvl w:val="0"/>
          <w:numId w:val="1"/>
        </w:numPr>
        <w:spacing w:after="80" w:line="276"/>
      </w:pPr>
      <w:r>
        <w:rPr>
          <w:sz w:val="21"/>
          <w:szCs w:val="21"/>
        </w:rPr>
        <w:t xml:space="preserve">IDP: Mandat, ki odloča o letu 2050 — Dokument 2, komentar ob lokalnih volitvah 2026 (avgust 2026).</w:t>
      </w:r>
    </w:p>
    <w:p>
      <w:pPr>
        <w:pStyle w:val="ListParagraph"/>
        <w:numPr>
          <w:ilvl w:val="0"/>
          <w:numId w:val="1"/>
        </w:numPr>
        <w:spacing w:after="80" w:line="276"/>
      </w:pPr>
      <w:r>
        <w:rPr>
          <w:sz w:val="21"/>
          <w:szCs w:val="21"/>
        </w:rPr>
        <w:t xml:space="preserve">IDP: Izhodišče raziskave — Demografska prihodnost Slovenske Istre (21. avgust 2026).</w:t>
      </w:r>
    </w:p>
    <w:p>
      <w:pPr>
        <w:spacing w:after="100"/>
      </w:pPr>
      <w:r>
        <w:rPr>
          <w:sz w:val="10"/>
          <w:szCs w:val="10"/>
        </w:rPr>
        <w:t xml:space="preserve"/>
      </w:r>
    </w:p>
    <w:p>
      <w:pPr>
        <w:spacing w:after="140" w:line="288"/>
      </w:pPr>
      <w:r>
        <w:rPr>
          <w:sz w:val="21"/>
          <w:szCs w:val="21"/>
        </w:rPr>
        <w:t xml:space="preserve">Opomba o ravni podatkov: večina podatkov v tem dokumentu je nacionalnih. Uporabljeni so kot okvir za red velikosti in kot izhodišče za vprašanja o stanju v Slovenski Istri, ne kot dokaz o njem. Kjer je bil podatek pridobljen prek povzetka poročanja namesto neposrednega branja primarnega dokumenta, je to označeno. Pred nadaljnjo javno uporabo priporočamo preverbo najpomembnejših trditev v primarnem viru.</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C9C8" w:sz="4" w:space="4"/>
      </w:pBdr>
      <w:tabs>
        <w:tab w:val="right" w:pos="9026"/>
      </w:tabs>
    </w:pPr>
    <w:r>
      <w:rPr>
        <w:color w:val="595959"/>
        <w:sz w:val="16"/>
        <w:szCs w:val="16"/>
      </w:rPr>
      <w:t xml:space="preserve">IDP · NEO ARK 2035</w:t>
    </w:r>
    <w:r>
      <w:rPr>
        <w:color w:val="595959"/>
        <w:sz w:val="16"/>
        <w:szCs w:val="16"/>
      </w:rPr>
      <w:t xml:space="preserve">	Manj odvisni, ne zaprti — Dokument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Žiga Sedevčič</dc:creator>
  <cp:lastModifiedBy>Inštitut za demografsko prihodnost Slovenije — inšpekcijski pregled</cp:lastModifiedBy>
  <cp:revision>1</cp:revision>
  <dcterms:created xsi:type="dcterms:W3CDTF">2026-08-22T12:21:13.103Z</dcterms:created>
  <dcterms:modified xsi:type="dcterms:W3CDTF">2026-08-22T12:21:13.117Z</dcterms:modified>
  <dc:title>Manj odvisni ne zaprti - Dokument 3 (Predlog odpornosti)</dc:title>
  <dc:description>Neodvisni inšpekcijski pregled IDP, 27. avgust 2026</dc:description>
</cp:coreProperties>
</file>

<file path=docProps/custom.xml><?xml version="1.0" encoding="utf-8"?>
<Properties xmlns="http://schemas.openxmlformats.org/officeDocument/2006/custom-properties" xmlns:vt="http://schemas.openxmlformats.org/officeDocument/2006/docPropsVTypes"/>
</file>