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b/>
          <w:bCs/>
          <w:color w:val="8C6D31"/>
          <w:sz w:val="22"/>
          <w:szCs w:val="22"/>
        </w:rPr>
        <w:t>INŠTITUT ZA DEMOGRAFSKO PRIHODNOST SLOVENIJE</w:t>
      </w:r>
    </w:p>
    <w:p>
      <w:pPr>
        <w:spacing w:after="600"/>
      </w:pPr>
      <w:r>
        <w:rPr>
          <w:color w:val="595959"/>
          <w:sz w:val="18"/>
          <w:szCs w:val="18"/>
        </w:rPr>
        <w:t xml:space="preserve">NEO ARK 2035</w:t>
      </w:r>
    </w:p>
    <w:p>
      <w:pPr>
        <w:spacing w:after="120"/>
      </w:pPr>
      <w:r>
        <w:rPr>
          <w:b/>
          <w:bCs/>
          <w:color w:val="0F3D3E"/>
          <w:sz w:val="50"/>
          <w:szCs w:val="50"/>
        </w:rPr>
        <w:t xml:space="preserve">MANDAT, KI ODLOČA O LETU 2050</w:t>
      </w:r>
    </w:p>
    <w:p>
      <w:pPr>
        <w:spacing w:after="100"/>
      </w:pPr>
      <w:r>
        <w:rPr>
          <w:i/>
          <w:iCs/>
          <w:color w:val="146C74"/>
          <w:sz w:val="26"/>
          <w:szCs w:val="26"/>
        </w:rPr>
        <w:t xml:space="preserve">Komentar IDP ob lokalnih volitvah 2026 v Slovenski Istri</w:t>
      </w:r>
    </w:p>
    <w:p>
      <w:pPr>
        <w:spacing w:after="100" w:before="200"/>
      </w:pPr>
      <w:r>
        <w:rPr>
          <w:i/>
          <w:iCs/>
          <w:color w:val="595959"/>
          <w:sz w:val="22"/>
          <w:szCs w:val="22"/>
        </w:rPr>
        <w:t xml:space="preserve">Zakaj demografska odpornost ni tema ene liste, ampak vprašanje, na katero morajo odgovoriti vsi kandidati</w:t>
      </w:r>
    </w:p>
    <w:p>
      <w:pPr>
        <w:spacing w:before="600"/>
      </w:pPr>
      <w:r>
        <w:rPr>
          <w:b/>
          <w:bCs/>
          <w:color w:val="8C6D31"/>
          <w:sz w:val="20"/>
          <w:szCs w:val="20"/>
        </w:rPr>
        <w:t xml:space="preserve">DOKUMENT 2 / 4 — JAVNI KOMENTAR</w:t>
      </w:r>
    </w:p>
    <w:p>
      <w:pPr>
        <w:spacing w:after="40"/>
      </w:pPr>
      <w:r>
        <w:rPr>
          <w:sz w:val="20"/>
          <w:szCs w:val="20"/>
        </w:rPr>
        <w:t xml:space="preserve">Nadstrankarsko gradivo za kandidate, liste, občinske uprave, medije in občane</w:t>
      </w:r>
    </w:p>
    <w:p>
      <w:pPr>
        <w:spacing w:before="400"/>
      </w:pPr>
      <w:r>
        <w:rPr>
          <w:color w:val="595959"/>
          <w:sz w:val="19"/>
          <w:szCs w:val="19"/>
        </w:rPr>
        <w:t xml:space="preserve">Območje: Mestna občina Koper, Občina Izola, Občina Piran, Občina Ankaran</w:t>
      </w:r>
    </w:p>
    <w:p>
      <w:pPr>
        <w:spacing w:after="40"/>
      </w:pPr>
      <w:r>
        <w:rPr>
          <w:color w:val="595959"/>
          <w:sz w:val="19"/>
          <w:szCs w:val="19"/>
        </w:rPr>
        <w:t xml:space="preserve">Volitve: 15. november 2026 (morebitni drugi krog 29. november 2026)</w:t>
      </w:r>
    </w:p>
    <w:p>
      <w:pPr>
        <w:spacing w:after="40"/>
      </w:pPr>
      <w:r>
        <w:rPr>
          <w:color w:val="595959"/>
          <w:sz w:val="19"/>
          <w:szCs w:val="19"/>
        </w:rPr>
        <w:t>Stanje pregleda podatkov: 27. avgust 2026 · Pregledana različica 1.1</w:t>
      </w:r>
    </w:p>
    <w:p/>
    <w:p>
      <w:r>
        <w:t>Pripravil: Žiga Sedevčič · Neodvisni podatkovni in uredniški pregled: IDP</w:t>
      </w:r>
    </w:p>
    <w:p>
      <w:r>
        <w:br w:type="page"/>
      </w:r>
    </w:p>
    <w:p>
      <w:pPr>
        <w:pStyle w:val="Heading1"/>
        <w:pBdr>
          <w:bottom w:val="single" w:color="0F3D3E" w:sz="8" w:space="4"/>
        </w:pBdr>
        <w:spacing w:after="200" w:before="480"/>
      </w:pPr>
      <w:r>
        <w:rPr>
          <w:b/>
          <w:bCs/>
          <w:color w:val="0F3D3E"/>
          <w:sz w:val="30"/>
          <w:szCs w:val="30"/>
        </w:rPr>
        <w:t xml:space="preserve">Izjava o nestrankarnosti in namenu</w:t>
      </w:r>
    </w:p>
    <w:p>
      <w:pPr>
        <w:spacing w:after="140" w:line="288"/>
      </w:pPr>
      <w:r>
        <w:rPr>
          <w:sz w:val="21"/>
          <w:szCs w:val="21"/>
        </w:rPr>
        <w:t xml:space="preserve">Inštitut za demografsko prihodnost (IDP) ni politična stranka, ni volilna lista in ne podpira nobenega kandidata ali kandidatke na lokalnih volitvah 2026. Ta dokument ne priporoča, koga voliti.</w:t>
      </w:r>
    </w:p>
    <w:p>
      <w:pPr>
        <w:spacing w:after="140" w:line="288"/>
      </w:pPr>
      <w:r>
        <w:rPr>
          <w:sz w:val="21"/>
          <w:szCs w:val="21"/>
        </w:rPr>
        <w:t xml:space="preserve">Namen dokumenta je natanko nasproten: dvigniti raven vsebinske razprave tako, da postane demografska odpornost vprašanje, na katero morajo odgovoriti vsi kandidati, ne glede na strankarsko pripadnost ali politično usmeritev.</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Pravila, ki smo si jih postavili pri pisanju tega dokumenta</w:t>
            </w:r>
          </w:p>
          <w:p>
            <w:pPr>
              <w:spacing w:after="80" w:line="280"/>
            </w:pPr>
            <w:r>
              <w:rPr>
                <w:sz w:val="20"/>
                <w:szCs w:val="20"/>
              </w:rPr>
              <w:t xml:space="preserve">1. V dokumentu ne navajamo imen kandidatov, kandidatk, strank ali volilnih list — niti v pozitivnem niti v negativnem kontekstu.</w:t>
            </w:r>
          </w:p>
          <w:p>
            <w:pPr>
              <w:spacing w:after="80" w:line="280"/>
            </w:pPr>
            <w:r>
              <w:rPr>
                <w:sz w:val="20"/>
                <w:szCs w:val="20"/>
              </w:rPr>
              <w:t xml:space="preserve">2. Ne ocenjujemo dela dosedanjih županov in občinskih svetov ter ne pripisujemo odgovornosti posameznikom.</w:t>
            </w:r>
          </w:p>
          <w:p>
            <w:pPr>
              <w:spacing w:after="80" w:line="280"/>
            </w:pPr>
            <w:r>
              <w:rPr>
                <w:sz w:val="20"/>
                <w:szCs w:val="20"/>
              </w:rPr>
              <w:t xml:space="preserve">3. Argumentov ne prilagajamo psihološkim profilom posameznih skupin volivcev in ne uporabljamo prikritega prepričevanja.</w:t>
            </w:r>
          </w:p>
          <w:p>
            <w:pPr>
              <w:spacing w:after="80" w:line="280"/>
            </w:pPr>
            <w:r>
              <w:rPr>
                <w:sz w:val="20"/>
                <w:szCs w:val="20"/>
              </w:rPr>
              <w:t xml:space="preserve">4. Vsak podatek ima naveden vir in datum. Kjer podatka nimamo, to napišemo — ne ocenjujemo na pamet.</w:t>
            </w:r>
          </w:p>
          <w:p>
            <w:pPr>
              <w:spacing w:after="80" w:line="280"/>
            </w:pPr>
            <w:r>
              <w:rPr>
                <w:sz w:val="20"/>
                <w:szCs w:val="20"/>
              </w:rPr>
              <w:t xml:space="preserve">5. Dokument je javen in v celoti prosto uporaben za vse politične opcije, občinske uprave, medije in občane.</w:t>
            </w:r>
          </w:p>
        </w:tc>
      </w:tr>
    </w:tbl>
    <w:p>
      <w:pPr>
        <w:spacing w:after="100"/>
      </w:pPr>
      <w:r>
        <w:rPr>
          <w:sz w:val="10"/>
          <w:szCs w:val="10"/>
        </w:rPr>
        <w:t xml:space="preserve"/>
      </w:r>
    </w:p>
    <w:p>
      <w:pPr>
        <w:spacing w:after="140" w:line="288"/>
      </w:pPr>
      <w:r>
        <w:rPr>
          <w:sz w:val="21"/>
          <w:szCs w:val="21"/>
        </w:rPr>
        <w:t xml:space="preserve">Če katerakoli lista, kandidat ali občinska uprava iz tega dokumenta prevzame vprašanja, podatke ali predlog Istrskega dogovora o demografski odpornosti 2050, je to legitimno in zaželeno. Enako velja za vse hkrati. Prav v tem je smisel nadstrankarskega gradiva: uporabno mora biti vsem, sicer ni nadstrankarsko.</w:t>
      </w:r>
    </w:p>
    <w:p>
      <w:pPr>
        <w:pStyle w:val="Heading2"/>
        <w:spacing w:after="140" w:before="320"/>
      </w:pPr>
      <w:r>
        <w:rPr>
          <w:b/>
          <w:bCs/>
          <w:color w:val="146C74"/>
          <w:sz w:val="25"/>
          <w:szCs w:val="25"/>
        </w:rPr>
        <w:t xml:space="preserve">Na čem dokument temelji</w:t>
      </w:r>
    </w:p>
    <w:p>
      <w:pPr>
        <w:spacing w:after="140" w:line="288"/>
      </w:pPr>
      <w:r>
        <w:rPr>
          <w:sz w:val="21"/>
          <w:szCs w:val="21"/>
        </w:rPr>
        <w:t xml:space="preserve">Ta komentar je izpeljan iz temeljnega raziskovalnega dokumenta IDP »Demografski paradoks Slovenske Istre« (Dokument 1 iste zbirke, avgust 2026), ki podrobneje obravnava demografsko sliko, projekcije, staranje, zdravstvo, delovno silo, stanovanja, hrano, energijo, vodo, podnebno odpornost, regionalizacijo, srebrno ekonomijo in izobraževanje. Kjer v tem komentarju navajamo podatek brez podrobne razlage, je ta razlaga na voljo v Dokumentu 1.</w:t>
      </w:r>
    </w:p>
    <w:p>
      <w:pPr>
        <w:spacing w:after="140" w:line="288"/>
      </w:pPr>
      <w:r>
        <w:rPr>
          <w:sz w:val="21"/>
          <w:szCs w:val="21"/>
        </w:rPr>
        <w:t xml:space="preserve">Izraz Slovenska Istra pomeni v tem dokumentu štiri občine: Mestno občino Koper, Občino Izola, Občino Piran in Občino Ankaran. Kadar podatek velja za širšo Obalno-kraško statistično regijo (ki vključuje tudi Divačo, Hrpelje - Kozino, Komen in Sežano), to izrecno navedemo.</w:t>
      </w:r>
    </w:p>
    <w:p>
      <w:r>
        <w:br w:type="page"/>
      </w:r>
    </w:p>
    <w:p>
      <w:pPr>
        <w:pStyle w:val="Heading1"/>
        <w:pBdr>
          <w:bottom w:val="single" w:color="0F3D3E" w:sz="8" w:space="4"/>
        </w:pBdr>
        <w:spacing w:after="200" w:before="480"/>
      </w:pPr>
      <w:r>
        <w:rPr>
          <w:b/>
          <w:bCs/>
          <w:color w:val="0F3D3E"/>
          <w:sz w:val="30"/>
          <w:szCs w:val="30"/>
        </w:rPr>
        <w:t xml:space="preserve">1. Osrednja teza</w:t>
      </w:r>
    </w:p>
    <w:p>
      <w:pPr>
        <w:pBdr>
          <w:left w:val="single" w:color="8C6D31" w:sz="16" w:space="8"/>
        </w:pBdr>
        <w:spacing w:after="200" w:before="100"/>
        <w:ind w:left="400"/>
      </w:pPr>
      <w:r>
        <w:rPr>
          <w:i/>
          <w:iCs/>
          <w:color w:val="0F3D3E"/>
          <w:sz w:val="21"/>
          <w:szCs w:val="21"/>
        </w:rPr>
        <w:t xml:space="preserve">Te lokalne volitve niso pomembne samo zaradi tega, kdo bo vodil posamezno občino. Pomembne so, ker bo mandat 2026–2030 eno zadnjih obdobij, v katerem se lahko na nekatere dolgoročne spremembe pripravimo dovolj zgodaj.</w:t>
      </w:r>
    </w:p>
    <w:p>
      <w:pPr>
        <w:spacing w:after="200" w:line="300"/>
      </w:pPr>
      <w:r>
        <w:rPr>
          <w:color w:val="0F3D3E"/>
          <w:sz w:val="23"/>
          <w:szCs w:val="23"/>
        </w:rPr>
        <w:t xml:space="preserve">To ni retorična figura. Je ugotovitev, ki izhaja iz koledarja.</w:t>
      </w:r>
    </w:p>
    <w:p>
      <w:pPr>
        <w:spacing w:after="140" w:line="288"/>
      </w:pPr>
      <w:r>
        <w:rPr>
          <w:sz w:val="21"/>
          <w:szCs w:val="21"/>
        </w:rPr>
        <w:t xml:space="preserve">V Slovenski Istri se v naslednjih štirih letih iztečejo ali sprejmejo odločitve, ki bodo učinkovale precej dlje od enega mandata: prvi regionalni prostorski plan za to regijo, režim kratkotrajnega turističnega oddajanja stanovanj, izvajanje zakona o dolgotrajni oskrbi, več stanovanjskih projektov in posodobitev demografskih strokovnih podlag.</w:t>
      </w:r>
    </w:p>
    <w:p>
      <w:pPr>
        <w:spacing w:after="140" w:line="288"/>
      </w:pPr>
      <w:r>
        <w:rPr>
          <w:sz w:val="21"/>
          <w:szCs w:val="21"/>
        </w:rPr>
        <w:t xml:space="preserve">Nekatere med njimi imajo zakonsko določen rok. Ta rok ni odvisen od tega, kdo zmaga na volitvah, in se ne bo premaknil, če se z odločitvijo ne bomo ukvarjali.</w:t>
      </w:r>
    </w:p>
    <w:p>
      <w:pPr>
        <w:pStyle w:val="Heading2"/>
        <w:spacing w:after="140" w:before="320"/>
      </w:pPr>
      <w:r>
        <w:rPr>
          <w:b/>
          <w:bCs/>
          <w:color w:val="146C74"/>
          <w:sz w:val="25"/>
          <w:szCs w:val="25"/>
        </w:rPr>
        <w:t xml:space="preserve">Zakaj je demografija stvar lokalnih, ne le državnih volitev</w:t>
      </w:r>
    </w:p>
    <w:p>
      <w:pPr>
        <w:spacing w:after="140" w:line="288"/>
      </w:pPr>
      <w:r>
        <w:rPr>
          <w:sz w:val="21"/>
          <w:szCs w:val="21"/>
        </w:rPr>
        <w:t xml:space="preserve">Demografske politike si pogosto predstavljamo kot državno pristojnost: pokojnine, družinski prejemki, zdravstveno zavarovanje, migracijska zakonodaja. To drži. Toda del odločitev, ki najbolj neposredno vpliva na to, ali bo mlada družina ostala v Izoli ali se odselila, je občinskih: stanovanjska politika, vrtci, prostorsko načrtovanje, komunalna infrastruktura, javni prevoz, raba stavbnega fonda, turistična politika.</w:t>
      </w:r>
    </w:p>
    <w:p>
      <w:pPr>
        <w:spacing w:after="120" w:line="288"/>
      </w:pPr>
      <w:r>
        <w:rPr>
          <w:b/>
          <w:bCs/>
          <w:color w:val="1553A0"/>
          <w:sz w:val="21"/>
          <w:szCs w:val="21"/>
        </w:rPr>
        <w:t xml:space="preserve">[INTERPRETACIJA] </w:t>
      </w:r>
      <w:r>
        <w:rPr>
          <w:sz w:val="21"/>
          <w:szCs w:val="21"/>
        </w:rPr>
        <w:t xml:space="preserve">Občina ne določa stopnje rodnosti. Lahko pa pomembno vpliva na pogoje, v katerih ljudje sprejemajo odločitve o osamosvojitvi, partnerstvu, otrocih, skrbi za starše in o tem, ali sploh ostanejo. To je razlika med tem, kar občina nadzoruje, in tem, na kar občina vpliva — in prav ta druga kategorija je premalo prisotna v predvolilnih razpravah.</w:t>
      </w:r>
    </w:p>
    <w:p>
      <w:r>
        <w:br w:type="page"/>
      </w:r>
    </w:p>
    <w:p>
      <w:pPr>
        <w:pStyle w:val="Heading1"/>
        <w:pBdr>
          <w:bottom w:val="single" w:color="0F3D3E" w:sz="8" w:space="4"/>
        </w:pBdr>
        <w:spacing w:after="200" w:before="480"/>
      </w:pPr>
      <w:r>
        <w:rPr>
          <w:b/>
          <w:bCs/>
          <w:color w:val="0F3D3E"/>
          <w:sz w:val="30"/>
          <w:szCs w:val="30"/>
        </w:rPr>
        <w:t xml:space="preserve">2. Koledar, ki ga ni izbral nihče</w:t>
      </w:r>
    </w:p>
    <w:p>
      <w:pPr>
        <w:spacing w:after="140" w:line="288"/>
      </w:pPr>
      <w:r>
        <w:rPr>
          <w:sz w:val="21"/>
          <w:szCs w:val="21"/>
        </w:rPr>
        <w:t xml:space="preserve">Naslednja tabela ne vsebuje nobene politične ocene. Vsebuje datume, ki so že določeni z zakonom, vladnim sklepom ali sprejetim postopkom.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700"/>
        <w:gridCol w:w="4900"/>
        <w:gridCol w:w="2400"/>
      </w:tblGrid>
      <w:tr>
        <w:trPr>
          <w:tblHeader/>
        </w:trPr>
        <w:tc>
          <w:tcPr>
            <w:tcW w:type="dxa" w:w="17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Datum / rok</w:t>
            </w:r>
          </w:p>
        </w:tc>
        <w:tc>
          <w:tcPr>
            <w:tcW w:type="dxa" w:w="49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Kaj se zgodi</w:t>
            </w:r>
          </w:p>
        </w:tc>
        <w:tc>
          <w:tcPr>
            <w:tcW w:type="dxa" w:w="2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Kdo odloča</w:t>
            </w:r>
          </w:p>
        </w:tc>
      </w:tr>
      <w:tr>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september 2026</w:t>
            </w:r>
          </w:p>
        </w:tc>
        <w:tc>
          <w:tcPr>
            <w:tcW w:type="dxa" w:w="4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Razpis lokalnih volitev; začnejo teči roki za volilna opravila in zbiranje podpisov podpore</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Predsednik Državnega zbora / volilne komisije</w:t>
            </w:r>
          </w:p>
        </w:tc>
      </w:tr>
      <w:tr>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31. oktober 2026</w:t>
            </w:r>
          </w:p>
        </w:tc>
        <w:tc>
          <w:tcPr>
            <w:tcW w:type="dxa" w:w="4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Rok, do katerega lahko občina s svojim splošnim aktom določi drugačno omejitev kratkotrajnega oddajanja (30–270 dni) za leto 2027; sicer velja privzetih 60 dni</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Sedanji občinski sveti</w:t>
            </w:r>
          </w:p>
        </w:tc>
      </w:tr>
      <w:tr>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15. november 2026</w:t>
            </w:r>
          </w:p>
        </w:tc>
        <w:tc>
          <w:tcPr>
            <w:tcW w:type="dxa" w:w="4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Lokalne volitve v 212 občinah</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Volivci</w:t>
            </w:r>
          </w:p>
        </w:tc>
      </w:tr>
      <w:tr>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29. november 2026</w:t>
            </w:r>
          </w:p>
        </w:tc>
        <w:tc>
          <w:tcPr>
            <w:tcW w:type="dxa" w:w="4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Morebitni drugi krog županskih volitev</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Volivci</w:t>
            </w:r>
          </w:p>
        </w:tc>
      </w:tr>
      <w:tr>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konec leta 2026</w:t>
            </w:r>
          </w:p>
        </w:tc>
        <w:tc>
          <w:tcPr>
            <w:tcW w:type="dxa" w:w="4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Iztek mandata sedanjim občinskim organom; nastop novega mandata</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w:t>
            </w:r>
          </w:p>
        </w:tc>
      </w:tr>
      <w:tr>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predvidoma konec 2026</w:t>
            </w:r>
          </w:p>
        </w:tc>
        <w:tc>
          <w:tcPr>
            <w:tcW w:type="dxa" w:w="4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Javna razprava o Regionalnem prostorskem planu Obalno-Kraške razvojne regije s predstavitvijo dokumentov</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RRC Koper, občine, javnost</w:t>
            </w:r>
          </w:p>
        </w:tc>
      </w:tr>
      <w:tr>
        <w:tc>
          <w:tcPr>
            <w:tcW w:type="dxa" w:w="1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 1. januarja 2028</w:t>
            </w:r>
          </w:p>
        </w:tc>
        <w:tc>
          <w:tcPr>
            <w:tcW w:type="dxa" w:w="4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Zakonski rok za sprejem Regionalnega prostorskega plana Obalno-Kraške razvojne regije</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Novi občinski organi (mandat 2026–2030)</w:t>
            </w:r>
          </w:p>
        </w:tc>
      </w:tr>
      <w:tr>
        <w:tc>
          <w:tcPr>
            <w:tcW w:type="dxa" w:w="1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2027 in 2028</w:t>
            </w:r>
          </w:p>
        </w:tc>
        <w:tc>
          <w:tcPr>
            <w:tcW w:type="dxa" w:w="4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Veljavnost režima omejitve kratkotrajnega oddajanja v 14 občinah, med njimi vseh štirih istrskih</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Država in občine</w:t>
            </w:r>
          </w:p>
        </w:tc>
      </w:tr>
    </w:tbl>
    <w:p>
      <w:pPr>
        <w:spacing w:after="220"/>
      </w:pPr>
      <w:r>
        <w:rPr>
          <w:i/>
          <w:iCs/>
          <w:color w:val="595959"/>
          <w:sz w:val="18"/>
          <w:szCs w:val="18"/>
        </w:rPr>
        <w:t>Vir: Predsednik DZ RS, razpis lokalnih volitev 2026; Sklep o določitvi občin z visokim tveganjem negativnih vplivov kratkotrajnega najema (objavljen 8. maja 2026); Regionalni razvojni center Koper, gradiva RPP (2026)</w:t>
      </w:r>
    </w:p>
    <w:p>
      <w:pPr>
        <w:pStyle w:val="Heading2"/>
        <w:spacing w:after="140" w:before="320"/>
      </w:pPr>
      <w:r>
        <w:rPr>
          <w:b/>
          <w:bCs/>
          <w:color w:val="146C74"/>
          <w:sz w:val="25"/>
          <w:szCs w:val="25"/>
        </w:rPr>
        <w:t xml:space="preserve">Dve ugotovitvi iz tega koledarja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Prva: o režimu kratkotrajnega oddajanja za leto 2027 odločajo odhajajoči občinski sveti, ne novi.</w:t>
            </w:r>
          </w:p>
          <w:p>
            <w:pPr>
              <w:spacing w:after="80" w:line="280"/>
            </w:pPr>
            <w:r>
              <w:rPr>
                <w:sz w:val="20"/>
                <w:szCs w:val="20"/>
              </w:rPr>
              <w:t xml:space="preserve">Rok 31. oktober 2026 pade približno dva tedna pred volitve. Občinski sveti, ki so v zadnjih tednih mandata, torej odločajo o pravilih, ki bodo veljala v prvem letu naslednjega mandata.</w:t>
            </w:r>
          </w:p>
          <w:p>
            <w:pPr>
              <w:spacing w:after="80" w:line="280"/>
            </w:pPr>
            <w:r>
              <w:rPr>
                <w:sz w:val="20"/>
                <w:szCs w:val="20"/>
              </w:rPr>
              <w:t xml:space="preserve">To ni očitek nikomur — tako je določila zakonodaja. Je pa dejstvo, ki bi ga volivci in kandidati morali poznati, saj se odgovornost za to odločitev zlahka izgubi med dvema mandatoma.</w:t>
            </w:r>
          </w:p>
          <w:p>
            <w:pPr>
              <w:spacing w:after="80" w:line="280"/>
            </w:pPr>
            <w:r>
              <w:rPr>
                <w:sz w:val="20"/>
                <w:szCs w:val="20"/>
              </w:rPr>
              <w:t xml:space="preserve">Kandidati, ki bodo mandat prevzeli decembra 2026, bodo to odločitev podedovali. Vprašanje zanje je, kaj bodo naredili za leto 2028 in naprej.</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Druga: prvi Regionalni prostorski plan Obalno-Kraške regije bo sprejet v prvem delu naslednjega mandata.</w:t>
            </w:r>
          </w:p>
          <w:p>
            <w:pPr>
              <w:spacing w:after="80" w:line="280"/>
            </w:pPr>
            <w:r>
              <w:rPr>
                <w:sz w:val="20"/>
                <w:szCs w:val="20"/>
              </w:rPr>
              <w:t xml:space="preserve">Zakonski rok za sprejem je do 1. januarja 2028. To pomeni, da bodo o njem odločali organi, izvoljeni novembra 2026.</w:t>
            </w:r>
          </w:p>
          <w:p>
            <w:pPr>
              <w:spacing w:after="80" w:line="280"/>
            </w:pPr>
            <w:r>
              <w:rPr>
                <w:sz w:val="20"/>
                <w:szCs w:val="20"/>
              </w:rPr>
              <w:t xml:space="preserve">Plan določa usmeritve za razvoj poselitve, gospodarsko javno infrastrukturo in urejanje krajine ter vključuje urbanistično zasnovo širšega mestnega območja Slovenske Istre — torej dokument, ki obravnava štiri občine kot en prostor.</w:t>
            </w:r>
          </w:p>
          <w:p>
            <w:pPr>
              <w:spacing w:after="80" w:line="280"/>
            </w:pPr>
            <w:r>
              <w:rPr>
                <w:sz w:val="20"/>
                <w:szCs w:val="20"/>
              </w:rPr>
              <w:t xml:space="preserve">Prostorski akti se ne spreminjajo vsake štiri leta. Odločitve, sprejete v tem planu, bodo verjetno oblikovale prostor Slovenske Istre bistveno dlje kot en mandat.</w:t>
            </w:r>
          </w:p>
        </w:tc>
      </w:tr>
    </w:tbl>
    <w:p>
      <w:pPr>
        <w:spacing w:after="100"/>
      </w:pPr>
      <w:r>
        <w:rPr>
          <w:sz w:val="10"/>
          <w:szCs w:val="10"/>
        </w:rPr>
        <w:t xml:space="preserve"/>
      </w:r>
    </w:p>
    <w:p>
      <w:pPr>
        <w:spacing w:after="120" w:line="288"/>
      </w:pPr>
      <w:r>
        <w:rPr>
          <w:b/>
          <w:bCs/>
          <w:color w:val="1553A0"/>
          <w:sz w:val="21"/>
          <w:szCs w:val="21"/>
        </w:rPr>
        <w:t xml:space="preserve">[INTERPRETACIJA] </w:t>
      </w:r>
      <w:r>
        <w:rPr>
          <w:sz w:val="21"/>
          <w:szCs w:val="21"/>
        </w:rPr>
        <w:t xml:space="preserve">Kdorkoli bo izvoljen, bo v prvem letu mandata soodločal o prvem regionalnem prostorskem planu za to regijo. To je izjemno redka priložnost: prostorski okvir, ki štiri občine prvič obravnava skupaj, se ne pripravlja pogosto. Prav zato je vprašanje, kako posamezen kandidat razume regionalno prostorsko načrtovanje, vsebinsko pomembnejše od marsikatere bolj medijsko izpostavljene teme.</w:t>
      </w:r>
    </w:p>
    <w:p>
      <w:r>
        <w:br w:type="page"/>
      </w:r>
    </w:p>
    <w:p>
      <w:pPr>
        <w:pStyle w:val="Heading1"/>
        <w:pBdr>
          <w:bottom w:val="single" w:color="0F3D3E" w:sz="8" w:space="4"/>
        </w:pBdr>
        <w:spacing w:after="200" w:before="480"/>
      </w:pPr>
      <w:r>
        <w:rPr>
          <w:b/>
          <w:bCs/>
          <w:color w:val="0F3D3E"/>
          <w:sz w:val="30"/>
          <w:szCs w:val="30"/>
        </w:rPr>
        <w:t xml:space="preserve">3. Kaj podatki povedo</w:t>
      </w:r>
    </w:p>
    <w:p>
      <w:pPr>
        <w:spacing w:after="140" w:line="288"/>
      </w:pPr>
      <w:r>
        <w:rPr>
          <w:sz w:val="21"/>
          <w:szCs w:val="21"/>
        </w:rPr>
        <w:t xml:space="preserve">Ta razdelek je namenoma kratek. Podrobnejša obravnava je v Dokumentu 1.</w:t>
      </w:r>
    </w:p>
    <w:p>
      <w:pPr>
        <w:pStyle w:val="Heading2"/>
        <w:spacing w:after="140" w:before="320"/>
      </w:pPr>
      <w:r>
        <w:rPr>
          <w:b/>
          <w:bCs/>
          <w:color w:val="146C74"/>
          <w:sz w:val="25"/>
          <w:szCs w:val="25"/>
        </w:rPr>
        <w:t xml:space="preserve">3.1 Prebivalstvo raste, čeprav se ne obnavlja</w:t>
      </w:r>
    </w:p>
    <w:p>
      <w:pPr>
        <w:spacing w:after="120" w:line="288"/>
      </w:pPr>
      <w:r>
        <w:rPr>
          <w:b/>
          <w:bCs/>
          <w:color w:val="1B6E30"/>
          <w:sz w:val="21"/>
          <w:szCs w:val="21"/>
        </w:rPr>
        <w:t xml:space="preserve">[DEJSTVO] </w:t>
      </w:r>
      <w:r>
        <w:rPr>
          <w:sz w:val="21"/>
          <w:szCs w:val="21"/>
        </w:rPr>
        <w:t xml:space="preserve">Vse štiri istrske občine so imele leta 2024 negativen naravni prirast — umrlo je več ljudi, kot se jih je rodilo. Vse štiri so imele hkrati pozitiven selitveni prirast. Skupaj so štiri občine leta 2024 štele približno 92.206 prebivalcev; naravno gibanje je bilo –369, ocenjeni selitveni saldo +692, skupni prirast torej +323.</w:t>
      </w:r>
    </w:p>
    <w:p>
      <w:pPr>
        <w:spacing w:after="220"/>
      </w:pPr>
      <w:r>
        <w:rPr>
          <w:i/>
          <w:iCs/>
          <w:color w:val="595959"/>
          <w:sz w:val="18"/>
          <w:szCs w:val="18"/>
        </w:rPr>
        <w:t xml:space="preserve">Vir: SURS, občinski podatki 2024</w:t>
      </w:r>
    </w:p>
    <w:p>
      <w:pPr>
        <w:pBdr>
          <w:left w:val="single" w:color="8C6D31" w:sz="16" w:space="8"/>
        </w:pBdr>
        <w:spacing w:after="200" w:before="100"/>
        <w:ind w:left="400"/>
      </w:pPr>
      <w:r>
        <w:rPr>
          <w:i/>
          <w:iCs/>
          <w:color w:val="0F3D3E"/>
          <w:sz w:val="21"/>
          <w:szCs w:val="21"/>
        </w:rPr>
        <w:t xml:space="preserve">Na prvi pogled prebivalstvo raste. Pod površjem se prebivalstvo naravno ne obnavlja. To je bistvena razlika.</w:t>
      </w:r>
    </w:p>
    <w:p>
      <w:pPr>
        <w:pStyle w:val="Heading2"/>
        <w:spacing w:after="140" w:before="320"/>
      </w:pPr>
      <w:r>
        <w:rPr>
          <w:b/>
          <w:bCs/>
          <w:color w:val="146C74"/>
          <w:sz w:val="25"/>
          <w:szCs w:val="25"/>
        </w:rPr>
        <w:t xml:space="preserve">3.2 Regija z najnižjo rodnostjo v državi</w:t>
      </w:r>
    </w:p>
    <w:p>
      <w:pPr>
        <w:spacing w:after="120" w:line="288"/>
      </w:pPr>
      <w:r>
        <w:rPr>
          <w:b/>
          <w:bCs/>
          <w:color w:val="1B6E30"/>
          <w:sz w:val="21"/>
          <w:szCs w:val="21"/>
        </w:rPr>
        <w:t xml:space="preserve">[DEJSTVO] </w:t>
      </w:r>
      <w:r>
        <w:rPr>
          <w:sz w:val="21"/>
          <w:szCs w:val="21"/>
        </w:rPr>
        <w:t xml:space="preserve">Obalno-kraška statistična regija je imela leta 2024 skupno stopnjo rodnosti 1,3 otroka na žensko — najnižjo med vsemi slovenskimi statističnimi regijami. Povprečna starost matere ob rojstvu prvega otroka je bila 30,5 leta, delež mater, starih 35 let ali več, pa 27,2 % — največ med regijami.</w:t>
      </w:r>
    </w:p>
    <w:p>
      <w:pPr>
        <w:spacing w:after="220"/>
      </w:pPr>
      <w:r>
        <w:rPr>
          <w:i/>
          <w:iCs/>
          <w:color w:val="595959"/>
          <w:sz w:val="18"/>
          <w:szCs w:val="18"/>
        </w:rPr>
        <w:t xml:space="preserve">Vir: SURS (2024)</w:t>
      </w:r>
    </w:p>
    <w:p>
      <w:pPr>
        <w:spacing w:after="140" w:line="288"/>
      </w:pPr>
      <w:r>
        <w:rPr>
          <w:sz w:val="21"/>
          <w:szCs w:val="21"/>
        </w:rPr>
        <w:t xml:space="preserve">Pomembna metodološka omejitev: podatek o rodnosti 1,3 velja za vseh osem občin Obalno-kraške regije, ne posebej za štiri istrske. Zanesljivih letnih podatkov o rodnosti po posameznih štirih občinah javno ni na voljo. To je ena od vrzeli, ki jo IDP predlaga zapolniti.</w:t>
      </w:r>
    </w:p>
    <w:p>
      <w:pPr>
        <w:pStyle w:val="Heading2"/>
        <w:spacing w:after="140" w:before="320"/>
      </w:pPr>
      <w:r>
        <w:rPr>
          <w:b/>
          <w:bCs/>
          <w:color w:val="146C74"/>
          <w:sz w:val="25"/>
          <w:szCs w:val="25"/>
        </w:rPr>
        <w:t xml:space="preserve">3.3 Štiri občine, štiri različne slike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400"/>
        <w:gridCol w:w="1900"/>
        <w:gridCol w:w="1500"/>
        <w:gridCol w:w="4200"/>
      </w:tblGrid>
      <w:tr>
        <w:trPr>
          <w:tblHeader/>
        </w:trPr>
        <w:tc>
          <w:tcPr>
            <w:tcW w:type="dxa" w:w="1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Občina</w:t>
            </w:r>
          </w:p>
        </w:tc>
        <w:tc>
          <w:tcPr>
            <w:tcW w:type="dxa" w:w="19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Povprečna starost (2024)</w:t>
            </w:r>
          </w:p>
        </w:tc>
        <w:tc>
          <w:tcPr>
            <w:tcW w:type="dxa" w:w="1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Indeks staranja</w:t>
            </w:r>
          </w:p>
        </w:tc>
        <w:tc>
          <w:tcPr>
            <w:tcW w:type="dxa" w:w="42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Značilnost</w:t>
            </w:r>
          </w:p>
        </w:tc>
      </w:tr>
      <w:tr>
        <w:tc>
          <w:tcPr>
            <w:tcW w:type="dxa" w:w="1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Koper</w:t>
            </w:r>
          </w:p>
        </w:tc>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najnižja med štirimi</w:t>
            </w:r>
          </w:p>
        </w:tc>
        <w:tc>
          <w:tcPr>
            <w:tcW w:type="dxa" w:w="1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najnižji med štirimi</w:t>
            </w:r>
          </w:p>
        </w:tc>
        <w:tc>
          <w:tcPr>
            <w:tcW w:type="dxa" w:w="42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Demografsko najstabilnejši pol; močan selitveni prirast</w:t>
            </w:r>
          </w:p>
        </w:tc>
      </w:tr>
      <w:tr>
        <w:tc>
          <w:tcPr>
            <w:tcW w:type="dxa" w:w="1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Izola</w:t>
            </w:r>
          </w:p>
        </w:tc>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46,6</w:t>
            </w:r>
          </w:p>
        </w:tc>
        <w:tc>
          <w:tcPr>
            <w:tcW w:type="dxa" w:w="1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okoli 200</w:t>
            </w:r>
          </w:p>
        </w:tc>
        <w:tc>
          <w:tcPr>
            <w:tcW w:type="dxa" w:w="42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Najmočnejši naravni upad med štirimi (–6,2 na 1.000)</w:t>
            </w:r>
          </w:p>
        </w:tc>
      </w:tr>
      <w:tr>
        <w:tc>
          <w:tcPr>
            <w:tcW w:type="dxa" w:w="1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Piran</w:t>
            </w:r>
          </w:p>
        </w:tc>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47,4</w:t>
            </w:r>
          </w:p>
        </w:tc>
        <w:tc>
          <w:tcPr>
            <w:tcW w:type="dxa" w:w="1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228,2</w:t>
            </w:r>
          </w:p>
        </w:tc>
        <w:tc>
          <w:tcPr>
            <w:tcW w:type="dxa" w:w="42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Najvišji indeks staranja; migracije leta 2024 niso povsem nadomestile upada</w:t>
            </w:r>
          </w:p>
        </w:tc>
      </w:tr>
      <w:tr>
        <w:tc>
          <w:tcPr>
            <w:tcW w:type="dxa" w:w="1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Ankaran</w:t>
            </w:r>
          </w:p>
        </w:tc>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47,0</w:t>
            </w:r>
          </w:p>
        </w:tc>
        <w:tc>
          <w:tcPr>
            <w:tcW w:type="dxa" w:w="1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okoli 210</w:t>
            </w:r>
          </w:p>
        </w:tc>
        <w:tc>
          <w:tcPr>
            <w:tcW w:type="dxa" w:w="42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Izjemno visok selitveni prirast (+37,8 na 1.000) na majhni osnovi</w:t>
            </w:r>
          </w:p>
        </w:tc>
      </w:tr>
    </w:tbl>
    <w:p>
      <w:pPr>
        <w:spacing w:after="220"/>
      </w:pPr>
      <w:r>
        <w:rPr>
          <w:i/>
          <w:iCs/>
          <w:color w:val="595959"/>
          <w:sz w:val="18"/>
          <w:szCs w:val="18"/>
        </w:rPr>
        <w:t xml:space="preserve">Vir: SURS, občinski podatki 2024</w:t>
      </w:r>
    </w:p>
    <w:p>
      <w:pPr>
        <w:spacing w:after="140" w:line="288"/>
      </w:pPr>
      <w:r>
        <w:rPr>
          <w:sz w:val="21"/>
          <w:szCs w:val="21"/>
        </w:rPr>
        <w:t xml:space="preserve">Indeks staranja 228,2 pomeni približno 228 prebivalcev, starih 65 let ali več, na 100 otrok, mlajših od 15 let.</w:t>
      </w:r>
    </w:p>
    <w:p>
      <w:pPr>
        <w:pStyle w:val="Heading2"/>
        <w:spacing w:after="140" w:before="320"/>
      </w:pPr>
      <w:r>
        <w:rPr>
          <w:b/>
          <w:bCs/>
          <w:color w:val="146C74"/>
          <w:sz w:val="25"/>
          <w:szCs w:val="25"/>
        </w:rPr>
        <w:t xml:space="preserve">3.4 Česa o Slovenski Istri še ne vemo</w:t>
      </w:r>
    </w:p>
    <w:p>
      <w:pPr>
        <w:spacing w:after="140" w:line="288"/>
      </w:pPr>
      <w:r>
        <w:rPr>
          <w:sz w:val="21"/>
          <w:szCs w:val="21"/>
        </w:rPr>
        <w:t xml:space="preserve">Pošteno je povedati tudi, česa ne vemo. Za štiri istrske občine trenutno nimamo zanesljivih javnih podatkov o tem:</w:t>
      </w:r>
    </w:p>
    <w:p>
      <w:pPr>
        <w:pStyle w:val="ListParagraph"/>
        <w:numPr>
          <w:ilvl w:val="0"/>
          <w:numId w:val="1"/>
        </w:numPr>
        <w:spacing w:after="80" w:line="276"/>
      </w:pPr>
      <w:r>
        <w:rPr>
          <w:sz w:val="21"/>
          <w:szCs w:val="21"/>
        </w:rPr>
        <w:t xml:space="preserve">kdo se natančno priseljuje in kdo odseljuje — po starosti, izobrazbi, državljanstvu in razlogu selitve;</w:t>
      </w:r>
    </w:p>
    <w:p>
      <w:pPr>
        <w:pStyle w:val="ListParagraph"/>
        <w:numPr>
          <w:ilvl w:val="0"/>
          <w:numId w:val="1"/>
        </w:numPr>
        <w:spacing w:after="80" w:line="276"/>
      </w:pPr>
      <w:r>
        <w:rPr>
          <w:sz w:val="21"/>
          <w:szCs w:val="21"/>
        </w:rPr>
        <w:t xml:space="preserve">koliko mladih domačinov regija dejansko izgublja;</w:t>
      </w:r>
    </w:p>
    <w:p>
      <w:pPr>
        <w:pStyle w:val="ListParagraph"/>
        <w:numPr>
          <w:ilvl w:val="0"/>
          <w:numId w:val="1"/>
        </w:numPr>
        <w:spacing w:after="80" w:line="276"/>
      </w:pPr>
      <w:r>
        <w:rPr>
          <w:sz w:val="21"/>
          <w:szCs w:val="21"/>
        </w:rPr>
        <w:t xml:space="preserve">koliko ljudi v turističnih jedrih dejansko živi celo leto v primerjavi z registriranim prebivalstvom;</w:t>
      </w:r>
    </w:p>
    <w:p>
      <w:pPr>
        <w:pStyle w:val="ListParagraph"/>
        <w:numPr>
          <w:ilvl w:val="0"/>
          <w:numId w:val="1"/>
        </w:numPr>
        <w:spacing w:after="80" w:line="276"/>
      </w:pPr>
      <w:r>
        <w:rPr>
          <w:sz w:val="21"/>
          <w:szCs w:val="21"/>
        </w:rPr>
        <w:t xml:space="preserve">kakšen je rodnostni profil vsake posamezne občine;</w:t>
      </w:r>
    </w:p>
    <w:p>
      <w:pPr>
        <w:pStyle w:val="ListParagraph"/>
        <w:numPr>
          <w:ilvl w:val="0"/>
          <w:numId w:val="1"/>
        </w:numPr>
        <w:spacing w:after="80" w:line="276"/>
      </w:pPr>
      <w:r>
        <w:rPr>
          <w:sz w:val="21"/>
          <w:szCs w:val="21"/>
        </w:rPr>
        <w:t xml:space="preserve">kakšen je dejanski učinek občinskih pomoči ob rojstvu na rodnost.</w:t>
      </w:r>
    </w:p>
    <w:p>
      <w:pPr>
        <w:spacing w:after="120" w:line="288"/>
      </w:pPr>
      <w:r>
        <w:rPr>
          <w:b/>
          <w:bCs/>
          <w:color w:val="1553A0"/>
          <w:sz w:val="21"/>
          <w:szCs w:val="21"/>
        </w:rPr>
        <w:t xml:space="preserve">[INTERPRETACIJA] </w:t>
      </w:r>
      <w:r>
        <w:rPr>
          <w:sz w:val="21"/>
          <w:szCs w:val="21"/>
        </w:rPr>
        <w:t xml:space="preserve">Odsotnost teh podatkov ni razlog za neukrepanje, je pa razlog za previdnost pri obljubah. Kandidat, ki trdi, da natančno ve, zakaj se mladi odseljujejo iz Slovenske Istre, trdi več, kot dopuščajo javno dostopni podatki. Prav zato je smiselno vprašanje, ali namerava občina te podatke sploh začeti sistematično zbirati.</w:t>
      </w:r>
    </w:p>
    <w:p>
      <w:r>
        <w:br w:type="page"/>
      </w:r>
    </w:p>
    <w:p>
      <w:pPr>
        <w:pStyle w:val="Heading1"/>
        <w:pBdr>
          <w:bottom w:val="single" w:color="0F3D3E" w:sz="8" w:space="4"/>
        </w:pBdr>
        <w:spacing w:after="200" w:before="480"/>
      </w:pPr>
      <w:r>
        <w:rPr>
          <w:b/>
          <w:bCs/>
          <w:color w:val="0F3D3E"/>
          <w:sz w:val="30"/>
          <w:szCs w:val="30"/>
        </w:rPr>
        <w:t xml:space="preserve">4. Štiri občine niso štirje demografski sistemi</w:t>
      </w:r>
    </w:p>
    <w:p>
      <w:pPr>
        <w:spacing w:after="200" w:line="300"/>
      </w:pPr>
      <w:r>
        <w:rPr>
          <w:color w:val="0F3D3E"/>
          <w:sz w:val="23"/>
          <w:szCs w:val="23"/>
        </w:rPr>
        <w:t xml:space="preserve">Upravne meje so resnične. Življenjski vzorci jih ne upoštevajo.</w:t>
      </w:r>
    </w:p>
    <w:p>
      <w:pPr>
        <w:spacing w:after="140" w:line="288"/>
      </w:pPr>
      <w:r>
        <w:rPr>
          <w:sz w:val="21"/>
          <w:szCs w:val="21"/>
        </w:rPr>
        <w:t xml:space="preserve">Vzemimo povsem običajen dan prebivalke Slovenske Istre. Živi v Izoli. Dela v Kopru. Otroka pelje na dejavnost v Ankaran. K zdravniku hodi v Izolo. Starša ima v Piranu in ju obiskuje dvakrat na teden.</w:t>
      </w:r>
    </w:p>
    <w:p>
      <w:pPr>
        <w:spacing w:after="140" w:line="288"/>
      </w:pPr>
      <w:r>
        <w:rPr>
          <w:sz w:val="21"/>
          <w:szCs w:val="21"/>
        </w:rPr>
        <w:t xml:space="preserve">V enem dnevu se je dotaknila štirih občin. Njena stanovanjska stiska je izolska, njeno delovno mesto koprsko, njena skrb za starše piranska, njena mobilnost pa vseh štirih hkrati.</w:t>
      </w:r>
    </w:p>
    <w:p>
      <w:pPr>
        <w:pBdr>
          <w:left w:val="single" w:color="8C6D31" w:sz="16" w:space="8"/>
        </w:pBdr>
        <w:spacing w:after="200" w:before="100"/>
        <w:ind w:left="400"/>
      </w:pPr>
      <w:r>
        <w:rPr>
          <w:i/>
          <w:iCs/>
          <w:color w:val="0F3D3E"/>
          <w:sz w:val="21"/>
          <w:szCs w:val="21"/>
        </w:rPr>
        <w:t xml:space="preserve">Demografski sistem Slovenske Istre je regionalen, tudi kadar je uprava občinska.</w:t>
      </w:r>
    </w:p>
    <w:p>
      <w:pPr>
        <w:pStyle w:val="Heading2"/>
        <w:spacing w:after="140" w:before="320"/>
      </w:pPr>
      <w:r>
        <w:rPr>
          <w:b/>
          <w:bCs/>
          <w:color w:val="146C74"/>
          <w:sz w:val="25"/>
          <w:szCs w:val="25"/>
        </w:rPr>
        <w:t xml:space="preserve">4.1 Kaj to pomeni v praksi</w:t>
      </w:r>
    </w:p>
    <w:p>
      <w:pPr>
        <w:spacing w:after="140" w:line="288"/>
      </w:pPr>
      <w:r>
        <w:rPr>
          <w:sz w:val="21"/>
          <w:szCs w:val="21"/>
        </w:rPr>
        <w:t xml:space="preserve">Če vsaka od štirih občin načrtuje ločeno, se to pokaže na treh ravneh.</w:t>
      </w:r>
    </w:p>
    <w:p>
      <w:pPr>
        <w:pStyle w:val="Heading3"/>
        <w:spacing w:after="100" w:before="220"/>
      </w:pPr>
      <w:r>
        <w:rPr>
          <w:b/>
          <w:bCs/>
          <w:i/>
          <w:iCs/>
          <w:color w:val="8C6D31"/>
          <w:sz w:val="22"/>
          <w:szCs w:val="22"/>
        </w:rPr>
        <w:t xml:space="preserve">Podvajanje</w:t>
      </w:r>
    </w:p>
    <w:p>
      <w:pPr>
        <w:spacing w:after="140" w:line="288"/>
      </w:pPr>
      <w:r>
        <w:rPr>
          <w:sz w:val="21"/>
          <w:szCs w:val="21"/>
        </w:rPr>
        <w:t xml:space="preserve">Štiri ločene strategije za isto vprašanje pomenijo štirikratno pripravo, štirikratno svetovanje in štirikratno usklajevanje z državo. Pri majhnih občinah je to sorazmerno drago: Ankaran s približno 3.400 prebivalci nosi enak strošek priprave strateškega dokumenta kot bistveno večja občina, a ga porazdeli na desetkrat manj ljudi.</w:t>
      </w:r>
    </w:p>
    <w:p>
      <w:pPr>
        <w:pStyle w:val="Heading3"/>
        <w:spacing w:after="100" w:before="220"/>
      </w:pPr>
      <w:r>
        <w:rPr>
          <w:b/>
          <w:bCs/>
          <w:i/>
          <w:iCs/>
          <w:color w:val="8C6D31"/>
          <w:sz w:val="22"/>
          <w:szCs w:val="22"/>
        </w:rPr>
        <w:t xml:space="preserve">Prelivanje</w:t>
      </w:r>
    </w:p>
    <w:p>
      <w:pPr>
        <w:spacing w:after="140" w:line="288"/>
      </w:pPr>
      <w:r>
        <w:rPr>
          <w:sz w:val="21"/>
          <w:szCs w:val="21"/>
        </w:rPr>
        <w:t xml:space="preserve">Nekateri ukrepi v eni občini povzročijo posledico v sosednji. Najbolj neposreden primer letos je kratkotrajno oddajanje: če ena občina določi 60 dni, sosednja pa 270, se pritisk turističnega oddajanja preprosto premakne čez mejo. Nobena od občin ni naredila napake — skupaj pa je rezultat drugačen od namena vsake posebej.</w:t>
      </w:r>
    </w:p>
    <w:p>
      <w:pPr>
        <w:pStyle w:val="Heading3"/>
        <w:spacing w:after="100" w:before="220"/>
      </w:pPr>
      <w:r>
        <w:rPr>
          <w:b/>
          <w:bCs/>
          <w:i/>
          <w:iCs/>
          <w:color w:val="8C6D31"/>
          <w:sz w:val="22"/>
          <w:szCs w:val="22"/>
        </w:rPr>
        <w:t xml:space="preserve">Pogajalska moč</w:t>
      </w:r>
    </w:p>
    <w:p>
      <w:pPr>
        <w:spacing w:after="140" w:line="288"/>
      </w:pPr>
      <w:r>
        <w:rPr>
          <w:sz w:val="21"/>
          <w:szCs w:val="21"/>
        </w:rPr>
        <w:t xml:space="preserve">Regija, ki nastopi z enim usklajenim projektom, ima do države in evropskih skladov drugačno pogajalsko izhodišče kot štiri občine s štirimi ločenimi vlogami. To ne pomeni, da bo sredstev nujno več. Pomeni, da je verjetnost financiranja večjih infrastrukturnih projektov (voda, energija, javni prevoz) praviloma višja, kadar je projekt regionalen in ne le lokalen.</w:t>
      </w:r>
    </w:p>
    <w:p>
      <w:pPr>
        <w:spacing w:after="120" w:line="288"/>
      </w:pPr>
      <w:r>
        <w:rPr>
          <w:b/>
          <w:bCs/>
          <w:color w:val="9A6B00"/>
          <w:sz w:val="21"/>
          <w:szCs w:val="21"/>
        </w:rPr>
        <w:t xml:space="preserve">[HIPOTEZA] </w:t>
      </w:r>
      <w:r>
        <w:rPr>
          <w:sz w:val="21"/>
          <w:szCs w:val="21"/>
        </w:rPr>
        <w:t xml:space="preserve">Trditev o večji pogajalski moči je logično utemeljena in skladna s prakso regionalnih razvojnih programov, vendar je za Slovensko Istro nismo kvantificirali. Koliko sredstev bi regija dejansko pridobila z usklajenim nastopom, bi bilo treba oceniti na podlagi dosedanjih razpisov — to presega obseg tega komentarja.</w:t>
      </w:r>
    </w:p>
    <w:p>
      <w:pPr>
        <w:pStyle w:val="Heading2"/>
        <w:spacing w:after="140" w:before="320"/>
      </w:pPr>
      <w:r>
        <w:rPr>
          <w:b/>
          <w:bCs/>
          <w:color w:val="146C74"/>
          <w:sz w:val="25"/>
          <w:szCs w:val="25"/>
        </w:rPr>
        <w:t xml:space="preserve">4.2 Področja, kjer je skupno delovanje racionalnejše</w:t>
      </w:r>
    </w:p>
    <w:p>
      <w:pPr>
        <w:spacing w:after="140" w:line="288"/>
      </w:pPr>
      <w:r>
        <w:rPr>
          <w:sz w:val="21"/>
          <w:szCs w:val="21"/>
        </w:rPr>
        <w:t xml:space="preserve">Naslednja področja izpolnjujejo vsaj eno od treh meril: fizični sistem prečka občinske meje, strošek posamične izvedbe je nesorazmeren, ali pa se učinki prelivajo med občinami.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Področje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presega eno občino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 vodni sistem (Rižanski vodovod) oskrbuje celotno območje; vodni vir ne pozna občinskih meja</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Energija</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Energetske skupnosti so tem učinkovitejše, čim več članov in čim bolj raznolika poraba</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Javni prevoz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Dnevne migracije med štirimi občinami so vsakodnevne in množične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Zdravstvo in dolgotrajna oskrba</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Bolnišnica, specialistične in oskrbovalne kapacitete služijo vsem štirim</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Stanovanja</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Trg dela in stanovanjski trg sta enotna; ukrep v eni občini vpliva na cene v sosednji</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Turizem in kratkotrajno oddajanje</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Neusklajene omejitve preusmerjajo pritisk med občinami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Odpadki in kompostiranje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Minimalna smiselna velikost sistema presega posamezno občino</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Prehranska oskrba</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Kmetijska zemljišča, pridelovalci in odjemalci (šole, vrtci, domovi) so razpršeni čez meje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Demografsko spremljanje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Podatki so primerljivi in uporabni šele, če se zbirajo enotno</w:t>
            </w:r>
          </w:p>
        </w:tc>
      </w:tr>
    </w:tbl>
    <w:p>
      <w:r>
        <w:br w:type="page"/>
      </w:r>
    </w:p>
    <w:p>
      <w:pPr>
        <w:pStyle w:val="Heading1"/>
        <w:pBdr>
          <w:bottom w:val="single" w:color="0F3D3E" w:sz="8" w:space="4"/>
        </w:pBdr>
        <w:spacing w:after="200" w:before="480"/>
      </w:pPr>
      <w:r>
        <w:rPr>
          <w:b/>
          <w:bCs/>
          <w:color w:val="0F3D3E"/>
          <w:sz w:val="30"/>
          <w:szCs w:val="30"/>
        </w:rPr>
        <w:t xml:space="preserve">5. Lokalna identiteta ni na mizi</w:t>
      </w:r>
    </w:p>
    <w:p>
      <w:pPr>
        <w:spacing w:after="140" w:line="288"/>
      </w:pPr>
      <w:r>
        <w:rPr>
          <w:sz w:val="21"/>
          <w:szCs w:val="21"/>
        </w:rPr>
        <w:t xml:space="preserve">Ob vsakem pogovoru o regionalnem sodelovanju se pojavi utemeljena skrb: ali to pomeni izgubo samostojnosti, združevanje občin ali podreditev največji med njimi?</w:t>
      </w:r>
    </w:p>
    <w:p>
      <w:pPr>
        <w:pBdr>
          <w:left w:val="single" w:color="8C6D31" w:sz="16" w:space="8"/>
        </w:pBdr>
        <w:spacing w:after="200" w:before="100"/>
        <w:ind w:left="400"/>
      </w:pPr>
      <w:r>
        <w:rPr>
          <w:i/>
          <w:iCs/>
          <w:color w:val="0F3D3E"/>
          <w:sz w:val="21"/>
          <w:szCs w:val="21"/>
        </w:rPr>
        <w:t xml:space="preserve">Koper lahko ostane Koper. Izola ostane Izola. Piran ostane Piran. Ankaran ostane Ankaran. Vendar voda, energija, zdravstvo, promet, trg dela in demografija ne sledijo občinskim mejam.</w:t>
      </w:r>
    </w:p>
    <w:p>
      <w:pPr>
        <w:pStyle w:val="Heading2"/>
        <w:spacing w:after="140" w:before="320"/>
      </w:pPr>
      <w:r>
        <w:rPr>
          <w:b/>
          <w:bCs/>
          <w:color w:val="146C74"/>
          <w:sz w:val="25"/>
          <w:szCs w:val="25"/>
        </w:rPr>
        <w:t xml:space="preserve">5.1 Razmejitev, ki jo predlagamo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Ostaja izrazito lokalno</w:t>
            </w:r>
          </w:p>
        </w:tc>
        <w:tc>
          <w:tcPr>
            <w:tcW w:type="dxa" w:w="4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Smiselno je regionalno</w:t>
            </w:r>
          </w:p>
        </w:tc>
      </w:tr>
      <w:tr>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Identiteta, ime, simboli, zgodovinski spomin</w:t>
            </w:r>
          </w:p>
        </w:tc>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Vodna oskrba in vodna varnost</w:t>
            </w:r>
          </w:p>
        </w:tc>
      </w:tr>
      <w:tr>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Kultura, prireditve, društveno življenje</w:t>
            </w:r>
          </w:p>
        </w:tc>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Energetska odpornost in energetske skupnosti</w:t>
            </w:r>
          </w:p>
        </w:tc>
      </w:tr>
      <w:tr>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Jezikovna in narodnostna specifika</w:t>
            </w:r>
          </w:p>
        </w:tc>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Zdravstvene in oskrbovalne kapacitete</w:t>
            </w:r>
          </w:p>
        </w:tc>
      </w:tr>
      <w:tr>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Krajevna skupnost in soseska</w:t>
            </w:r>
          </w:p>
        </w:tc>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Javni prevoz in mobilnost</w:t>
            </w:r>
          </w:p>
        </w:tc>
      </w:tr>
      <w:tr>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Prostorska podoba naselij in urbanistična identiteta</w:t>
            </w:r>
          </w:p>
        </w:tc>
        <w:tc>
          <w:tcPr>
            <w:tcW w:type="dxa" w:w="4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Stanovanjska ponudba in usklajena turistična pravila</w:t>
            </w:r>
          </w:p>
        </w:tc>
      </w:tr>
      <w:tr>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Občinska avtonomija pri lastnem proračunu</w:t>
            </w:r>
          </w:p>
        </w:tc>
        <w:tc>
          <w:tcPr>
            <w:tcW w:type="dxa" w:w="4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Demografsko spremljanje in skupne strokovne podlage</w:t>
            </w:r>
          </w:p>
        </w:tc>
      </w:tr>
    </w:tbl>
    <w:p>
      <w:pPr>
        <w:spacing w:after="140" w:line="288"/>
      </w:pPr>
      <w:r>
        <w:rPr>
          <w:sz w:val="21"/>
          <w:szCs w:val="21"/>
        </w:rPr>
        <w:t xml:space="preserve">Regionalnost v tem dokumentu torej ne pomeni odprave občin. Pomeni skupne interese tam, kjer je skupno delovanje racionalnejše — in nič več od tega.</w:t>
      </w:r>
    </w:p>
    <w:p>
      <w:pPr>
        <w:spacing w:after="120" w:line="288"/>
      </w:pPr>
      <w:r>
        <w:rPr>
          <w:b/>
          <w:bCs/>
          <w:color w:val="1553A0"/>
          <w:sz w:val="21"/>
          <w:szCs w:val="21"/>
        </w:rPr>
        <w:t xml:space="preserve">[INTERPRETACIJA] </w:t>
      </w:r>
      <w:r>
        <w:rPr>
          <w:sz w:val="21"/>
          <w:szCs w:val="21"/>
        </w:rPr>
        <w:t xml:space="preserve">Lokalni patriotizem in regionalno sodelovanje si nasprotujeta samo, če ju postavimo v isto kategorijo. Če ju ločimo — identiteta lokalno, infrastruktura regionalno — se izkaže, da si v veliki meri sploh ne konkurirata. Prav ta razmejitev je po naši oceni predpogoj, da regionalno sodelovanje sploh postane politično izvedljivo.</w:t>
      </w:r>
    </w:p>
    <w:p>
      <w:pPr>
        <w:pStyle w:val="Heading2"/>
        <w:spacing w:after="140" w:before="320"/>
      </w:pPr>
      <w:r>
        <w:rPr>
          <w:b/>
          <w:bCs/>
          <w:color w:val="146C74"/>
          <w:sz w:val="25"/>
          <w:szCs w:val="25"/>
        </w:rPr>
        <w:t xml:space="preserve">5.2 Kaj bi vsaka občina lahko prispevala</w:t>
      </w:r>
    </w:p>
    <w:p>
      <w:pPr>
        <w:spacing w:after="140" w:line="288"/>
      </w:pPr>
      <w:r>
        <w:rPr>
          <w:sz w:val="21"/>
          <w:szCs w:val="21"/>
        </w:rPr>
        <w:t xml:space="preserve">Regionalno sodelovanje ne pomeni, da vse štiri občine počnejo isto. Nasprotno — smiselno je, da vsaka razvija tisto, kjer ima dejansko prednost. To so izhodišča za razpravo, ne dodeljene vloge.</w:t>
      </w:r>
    </w:p>
    <w:p>
      <w:pPr>
        <w:pStyle w:val="ListParagraph"/>
        <w:numPr>
          <w:ilvl w:val="0"/>
          <w:numId w:val="1"/>
        </w:numPr>
        <w:spacing w:after="80" w:line="276"/>
      </w:pPr>
      <w:r>
        <w:rPr>
          <w:sz w:val="21"/>
          <w:szCs w:val="21"/>
        </w:rPr>
        <w:t xml:space="preserve">Koper: regionalne funkcije — univerza, delovna mesta, tehnologija, izobraževanje, raziskovalne in zdravstvene zmogljivosti. Mestna občina Koper je junija 2026 skupaj z Univerzo na Primorskem, ZRS Koper, Luko Koper in gospodarsko zbornico srebrno ekonomijo že opredelila kot enega štirih razvojnih stebrov do leta 2050.</w:t>
      </w:r>
    </w:p>
    <w:p>
      <w:pPr>
        <w:pStyle w:val="ListParagraph"/>
        <w:numPr>
          <w:ilvl w:val="0"/>
          <w:numId w:val="1"/>
        </w:numPr>
        <w:spacing w:after="80" w:line="276"/>
      </w:pPr>
      <w:r>
        <w:rPr>
          <w:sz w:val="21"/>
          <w:szCs w:val="21"/>
        </w:rPr>
        <w:t xml:space="preserve">Izola: zdravje in kakovostno dolgo življenje — bolnišnica, rehabilitacija, načrtovani dom starejših v Livadah, stanovanja za mlade, medgeneracijsko bivanje.</w:t>
      </w:r>
    </w:p>
    <w:p>
      <w:pPr>
        <w:pStyle w:val="ListParagraph"/>
        <w:numPr>
          <w:ilvl w:val="0"/>
          <w:numId w:val="1"/>
        </w:numPr>
        <w:spacing w:after="80" w:line="276"/>
      </w:pPr>
      <w:r>
        <w:rPr>
          <w:sz w:val="21"/>
          <w:szCs w:val="21"/>
        </w:rPr>
        <w:t xml:space="preserve">Piran: laboratorij celoletnega mesta — razmerje med registriranim in dejanskim prebivalstvom, sekundarna stanovanja, revitalizacija mestnega jedra, celoletni turizem.</w:t>
      </w:r>
    </w:p>
    <w:p>
      <w:pPr>
        <w:pStyle w:val="ListParagraph"/>
        <w:numPr>
          <w:ilvl w:val="0"/>
          <w:numId w:val="1"/>
        </w:numPr>
        <w:spacing w:after="80" w:line="276"/>
      </w:pPr>
      <w:r>
        <w:rPr>
          <w:sz w:val="21"/>
          <w:szCs w:val="21"/>
        </w:rPr>
        <w:t xml:space="preserve">Ankaran: model majhne medgeneracijske občine — soseske za mlade, medgeneracijsko središče, prostorska kakovost, spremljanje demografije skoraj na ravni posameznih generacij.</w:t>
      </w:r>
    </w:p>
    <w:p>
      <w:pPr>
        <w:spacing w:after="220"/>
      </w:pPr>
      <w:r>
        <w:rPr>
          <w:i/>
          <w:iCs/>
          <w:color w:val="595959"/>
          <w:sz w:val="18"/>
          <w:szCs w:val="18"/>
        </w:rPr>
        <w:t xml:space="preserve">Vir: ZRS Koper (junij 2026); Občina Izola (2025–2026); Občina Piran (2020–2026); Občina Ankaran (2014–2022)</w:t>
      </w:r>
    </w:p>
    <w:p>
      <w:r>
        <w:br w:type="page"/>
      </w:r>
    </w:p>
    <w:p>
      <w:pPr>
        <w:pStyle w:val="Heading1"/>
        <w:pBdr>
          <w:bottom w:val="single" w:color="0F3D3E" w:sz="8" w:space="4"/>
        </w:pBdr>
        <w:spacing w:after="200" w:before="480"/>
      </w:pPr>
      <w:r>
        <w:rPr>
          <w:b/>
          <w:bCs/>
          <w:color w:val="0F3D3E"/>
          <w:sz w:val="30"/>
          <w:szCs w:val="30"/>
        </w:rPr>
        <w:t xml:space="preserve">6. Zakaj mandat 2026–2030 odloča o letu 2040</w:t>
      </w:r>
    </w:p>
    <w:p>
      <w:pPr>
        <w:spacing w:after="200" w:line="300"/>
      </w:pPr>
      <w:r>
        <w:rPr>
          <w:color w:val="0F3D3E"/>
          <w:sz w:val="23"/>
          <w:szCs w:val="23"/>
        </w:rPr>
        <w:t xml:space="preserve">Pri demografiji so posledice zakasnjene. To je tehnična značilnost področja, ne retorika.</w:t>
      </w:r>
    </w:p>
    <w:p>
      <w:pPr>
        <w:spacing w:after="140" w:line="288"/>
      </w:pPr>
      <w:r>
        <w:rPr>
          <w:sz w:val="21"/>
          <w:szCs w:val="21"/>
        </w:rPr>
        <w:t xml:space="preserve">Če se leta 2027 ne zgradi stanovanje, se ne izobrazi kader, ne razvije dolgotrajna oskrba in ne načrtuje javni prevoz, tega leta 2028 skoraj ne bomo občutili. Leta 2040 pa tega ne bo več mogoče hitro popraviti.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Primer, ki ga je vredno prebrati dvakrat</w:t>
            </w:r>
          </w:p>
          <w:p>
            <w:pPr>
              <w:spacing w:after="80" w:line="280"/>
            </w:pPr>
            <w:r>
              <w:rPr>
                <w:sz w:val="20"/>
                <w:szCs w:val="20"/>
              </w:rPr>
              <w:t xml:space="preserve">Recimo, da bo Slovenska Istra leta 2040 potrebovala bistveno več strokovnjakov za zdravstveno in socialno oskrbo, kot jih ima danes.</w:t>
            </w:r>
          </w:p>
          <w:p>
            <w:pPr>
              <w:spacing w:after="80" w:line="280"/>
            </w:pPr>
            <w:r>
              <w:rPr>
                <w:sz w:val="20"/>
                <w:szCs w:val="20"/>
              </w:rPr>
              <w:t xml:space="preserve">Teh ljudi leta 2039 ni mogoče »naročiti«.</w:t>
            </w:r>
          </w:p>
          <w:p>
            <w:pPr>
              <w:spacing w:after="80" w:line="280"/>
            </w:pPr>
            <w:r>
              <w:rPr>
                <w:sz w:val="20"/>
                <w:szCs w:val="20"/>
              </w:rPr>
              <w:t xml:space="preserve">Človek potrebuje izobraževanje, prakso, specializacijo, stanovanje in razlog, da na Obali ostane. Ta veriga traja bistveno dlje kot en mandat.</w:t>
            </w:r>
          </w:p>
          <w:p>
            <w:pPr>
              <w:spacing w:after="80" w:line="280"/>
            </w:pPr>
            <w:r>
              <w:rPr>
                <w:sz w:val="20"/>
                <w:szCs w:val="20"/>
              </w:rPr>
              <w:t xml:space="preserve">Odločitev o številu vpisnih mest, štipendijah, kadrovskih štipendijah in stanovanjih za zdravstvene delavce, sprejeta v mandatu 2026–2030, zato učinkuje predvsem po letu 2035.</w:t>
            </w:r>
          </w:p>
        </w:tc>
      </w:tr>
    </w:tbl>
    <w:p>
      <w:pPr>
        <w:spacing w:after="100"/>
      </w:pPr>
      <w:r>
        <w:rPr>
          <w:sz w:val="10"/>
          <w:szCs w:val="10"/>
        </w:rPr>
        <w:t xml:space="preserve"/>
      </w:r>
    </w:p>
    <w:p>
      <w:pPr>
        <w:pStyle w:val="Heading2"/>
        <w:spacing w:after="140" w:before="320"/>
      </w:pPr>
      <w:r>
        <w:rPr>
          <w:b/>
          <w:bCs/>
          <w:color w:val="146C74"/>
          <w:sz w:val="25"/>
          <w:szCs w:val="25"/>
        </w:rPr>
        <w:t xml:space="preserve">6.1 Tudi »ne odločiti se« je odločitev</w:t>
      </w:r>
    </w:p>
    <w:p>
      <w:pPr>
        <w:spacing w:after="140" w:line="288"/>
      </w:pPr>
      <w:r>
        <w:rPr>
          <w:sz w:val="21"/>
          <w:szCs w:val="21"/>
        </w:rPr>
        <w:t xml:space="preserve">Pri odločitvah z dolgim zamikom neukrepanje ni nevtralno stanje. Je izbira ene od možnih prihodnosti — le da je sprejeta tiho in brez javne razprave.</w:t>
      </w:r>
    </w:p>
    <w:p>
      <w:pPr>
        <w:pStyle w:val="Heading2"/>
        <w:spacing w:after="140" w:before="320"/>
      </w:pPr>
      <w:r>
        <w:rPr>
          <w:b/>
          <w:bCs/>
          <w:color w:val="146C74"/>
          <w:sz w:val="25"/>
          <w:szCs w:val="25"/>
        </w:rPr>
        <w:t xml:space="preserve">6.2 Cena neukrepanja po področjih</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00"/>
      </w:tblGrid>
      <w:tr>
        <w:trPr>
          <w:tblHeader/>
        </w:trPr>
        <w:tc>
          <w:tcPr>
            <w:tcW w:type="dxa" w:w="1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Področje</w:t>
            </w:r>
          </w:p>
        </w:tc>
        <w:tc>
          <w:tcPr>
            <w:tcW w:type="dxa" w:w="2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5 let (2031)</w:t>
            </w:r>
          </w:p>
        </w:tc>
        <w:tc>
          <w:tcPr>
            <w:tcW w:type="dxa" w:w="2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10 let (2036)</w:t>
            </w:r>
          </w:p>
        </w:tc>
        <w:tc>
          <w:tcPr>
            <w:tcW w:type="dxa" w:w="25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Čez 25 let (2051)</w:t>
            </w:r>
          </w:p>
        </w:tc>
      </w:tr>
      <w:tr>
        <w:tc>
          <w:tcPr>
            <w:tcW w:type="dxa" w:w="1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Stanovanja</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Nedostopnost ostaja; mladi se selijo v zaledje ali iz regije</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Generacija, ki bi ustanovila družino v Istri, se je že preselila drugam</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Manjkajo cele delovno aktivne kohorte, ki bi vzdrževale storitve</w:t>
            </w:r>
          </w:p>
        </w:tc>
      </w:tr>
      <w:tr>
        <w:tc>
          <w:tcPr>
            <w:tcW w:type="dxa" w:w="1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Kadri v oskrbi</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Čakalne dobe in obremenitev osebja rastejo</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Pomanjkanje postane strukturno, ne začasno</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Dostopnost oskrbe je odvisna od uvoza kadra ali krčenja storitev</w:t>
            </w:r>
          </w:p>
        </w:tc>
      </w:tr>
      <w:tr>
        <w:tc>
          <w:tcPr>
            <w:tcW w:type="dxa" w:w="1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Voda</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Poletne omejitve porabe se ponavljajo pogosteje</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Vodna oskrba postane omejitveni dejavnik za gradnjo in razvoj</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Vodna negotovost lahko postane razlog proti naselitvi mladih družin</w:t>
            </w:r>
          </w:p>
        </w:tc>
      </w:tr>
      <w:tr>
        <w:tc>
          <w:tcPr>
            <w:tcW w:type="dxa" w:w="1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Energija</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Gospodinjstva ostajajo izpostavljena cenovnim nihanjem</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Ranljivost starejših ob ekstremnih dogodkih je večja</w:t>
            </w:r>
          </w:p>
        </w:tc>
        <w:tc>
          <w:tcPr>
            <w:tcW w:type="dxa" w:w="25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Regija brez alternativnih virov je občutno bolj izpostavljena šokom</w:t>
            </w:r>
          </w:p>
        </w:tc>
      </w:tr>
      <w:tr>
        <w:tc>
          <w:tcPr>
            <w:tcW w:type="dxa" w:w="1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Prostor</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Regionalni plan je sprejet z ali brez demografskih meril</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Posledice prostorskih odločitev postanejo vidne</w:t>
            </w:r>
          </w:p>
        </w:tc>
        <w:tc>
          <w:tcPr>
            <w:tcW w:type="dxa" w:w="25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Prostorski vzorec je v veliki meri nepovraten</w:t>
            </w:r>
          </w:p>
        </w:tc>
      </w:tr>
    </w:tbl>
    <w:p>
      <w:pPr>
        <w:spacing w:after="120" w:line="288"/>
      </w:pPr>
      <w:r>
        <w:rPr>
          <w:b/>
          <w:bCs/>
          <w:color w:val="1553A0"/>
          <w:sz w:val="21"/>
          <w:szCs w:val="21"/>
        </w:rPr>
        <w:t xml:space="preserve">[INTERPRETACIJA] </w:t>
      </w:r>
      <w:r>
        <w:rPr>
          <w:sz w:val="21"/>
          <w:szCs w:val="21"/>
        </w:rPr>
        <w:t xml:space="preserve">Namen te tabele ni prestrašiti. Je pokazati, da so posledice zamika različne po področjih in da nekatera področja prenesejo odlašanje bolje kot druga. Prostor in kadri sta področji, kjer je zamik najdražji, ker sta popravka najpočasnejša.</w:t>
      </w:r>
    </w:p>
    <w:p>
      <w:r>
        <w:br w:type="page"/>
      </w:r>
    </w:p>
    <w:p>
      <w:pPr>
        <w:pStyle w:val="Heading1"/>
        <w:pBdr>
          <w:bottom w:val="single" w:color="0F3D3E" w:sz="8" w:space="4"/>
        </w:pBdr>
        <w:spacing w:after="200" w:before="480"/>
      </w:pPr>
      <w:r>
        <w:rPr>
          <w:b/>
          <w:bCs/>
          <w:color w:val="0F3D3E"/>
          <w:sz w:val="30"/>
          <w:szCs w:val="30"/>
        </w:rPr>
        <w:t xml:space="preserve">7. Predlog: Istrski dogovor o demografski odpornosti 2050</w:t>
      </w:r>
    </w:p>
    <w:p>
      <w:pPr>
        <w:spacing w:after="140" w:line="288"/>
      </w:pPr>
      <w:r>
        <w:rPr>
          <w:sz w:val="21"/>
          <w:szCs w:val="21"/>
        </w:rPr>
        <w:t xml:space="preserve">IDP predlaga, da štiri istrske občine sklenejo pisni dogovor o skupnih dolgoročnih ciljih na področjih, kjer je skupno delovanje racionalnejše od občinskega.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Kaj Istrski dogovor je in kaj ni</w:t>
            </w:r>
          </w:p>
          <w:p>
            <w:pPr>
              <w:spacing w:after="80" w:line="280"/>
            </w:pPr>
            <w:r>
              <w:rPr>
                <w:sz w:val="20"/>
                <w:szCs w:val="20"/>
              </w:rPr>
              <w:t xml:space="preserve">JE: pisna izjava o skupnih ciljih in rednem usklajevanju štirih občin na osmih področjih, ki jo lahko podpišejo občinski sveti ne glede na politično sestavo.</w:t>
            </w:r>
          </w:p>
          <w:p>
            <w:pPr>
              <w:spacing w:after="80" w:line="280"/>
            </w:pPr>
            <w:r>
              <w:rPr>
                <w:sz w:val="20"/>
                <w:szCs w:val="20"/>
              </w:rPr>
              <w:t xml:space="preserve">JE: okvir, ki ga lahko podprejo različne politične liste, ker ne posega v občinsko avtonomijo, proračune ali identiteto.</w:t>
            </w:r>
          </w:p>
          <w:p>
            <w:pPr>
              <w:spacing w:after="80" w:line="280"/>
            </w:pPr>
            <w:r>
              <w:rPr>
                <w:sz w:val="20"/>
                <w:szCs w:val="20"/>
              </w:rPr>
              <w:t xml:space="preserve">NI: nova občina, združitev občin ali nov organ z odločevalsko pristojnostjo.</w:t>
            </w:r>
          </w:p>
          <w:p>
            <w:pPr>
              <w:spacing w:after="80" w:line="280"/>
            </w:pPr>
            <w:r>
              <w:rPr>
                <w:sz w:val="20"/>
                <w:szCs w:val="20"/>
              </w:rPr>
              <w:t xml:space="preserve">NI: prenos pristojnosti z občin na regionalno raven.</w:t>
            </w:r>
          </w:p>
          <w:p>
            <w:pPr>
              <w:spacing w:after="80" w:line="280"/>
            </w:pPr>
            <w:r>
              <w:rPr>
                <w:sz w:val="20"/>
                <w:szCs w:val="20"/>
              </w:rPr>
              <w:t xml:space="preserve">NI: dokument, ki bi ga morala pripraviti ali voditi IDP — inštitut ga predlaga, pripravijo pa ga občine.</w:t>
            </w:r>
          </w:p>
        </w:tc>
      </w:tr>
    </w:tbl>
    <w:p>
      <w:pPr>
        <w:spacing w:after="100"/>
      </w:pPr>
      <w:r>
        <w:rPr>
          <w:sz w:val="10"/>
          <w:szCs w:val="10"/>
        </w:rPr>
        <w:t xml:space="preserve"/>
      </w:r>
    </w:p>
    <w:p>
      <w:pPr>
        <w:pStyle w:val="Heading2"/>
        <w:spacing w:after="140" w:before="320"/>
      </w:pPr>
      <w:r>
        <w:rPr>
          <w:b/>
          <w:bCs/>
          <w:color w:val="146C74"/>
          <w:sz w:val="25"/>
          <w:szCs w:val="25"/>
        </w:rPr>
        <w:t xml:space="preserve">7.1 Osem stebrov</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600"/>
        <w:gridCol w:w="4400"/>
        <w:gridCol w:w="3000"/>
      </w:tblGrid>
      <w:tr>
        <w:trPr>
          <w:tblHeader/>
        </w:trPr>
        <w:tc>
          <w:tcPr>
            <w:tcW w:type="dxa" w:w="1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Steber</w:t>
            </w:r>
          </w:p>
        </w:tc>
        <w:tc>
          <w:tcPr>
            <w:tcW w:type="dxa" w:w="4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Vsebina</w:t>
            </w:r>
          </w:p>
        </w:tc>
        <w:tc>
          <w:tcPr>
            <w:tcW w:type="dxa" w:w="30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skupno</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Prebivalstvo</w:t>
            </w:r>
          </w:p>
        </w:tc>
        <w:tc>
          <w:tcPr>
            <w:tcW w:type="dxa" w:w="4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Rodnost, migracije, stanovanja, družine, aktivno prebivalstvo</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Trg dela in stanovanjski trg sta enotna</w:t>
            </w:r>
          </w:p>
        </w:tc>
      </w:tr>
      <w:tr>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Dolgoživost</w:t>
            </w:r>
          </w:p>
        </w:tc>
        <w:tc>
          <w:tcPr>
            <w:tcW w:type="dxa" w:w="4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Zdravstvo, oskrba, srebrna ekonomija, senior turizem</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Zmogljivosti služijo vsem štirim občinam</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Delo</w:t>
            </w:r>
          </w:p>
        </w:tc>
        <w:tc>
          <w:tcPr>
            <w:tcW w:type="dxa" w:w="4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Digitalizacija, optimizacija, avtomatizacija, prihodnji poklici</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Enaki kadrovski primanjkljaji, deljive rešitve</w:t>
            </w:r>
          </w:p>
        </w:tc>
      </w:tr>
      <w:tr>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Hrana</w:t>
            </w:r>
          </w:p>
        </w:tc>
        <w:tc>
          <w:tcPr>
            <w:tcW w:type="dxa" w:w="4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Lokalna proizvodnja, zaščita zemljišč, kompost, oskrbne verige</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Pridelovalci in odjemalci so razpršeni čez meje</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Energija</w:t>
            </w:r>
          </w:p>
        </w:tc>
        <w:tc>
          <w:tcPr>
            <w:tcW w:type="dxa" w:w="4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Energetske skupnosti, decentralizacija, hranilniki</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Večja skupnost pomeni stabilnejši sistem</w:t>
            </w:r>
          </w:p>
        </w:tc>
      </w:tr>
      <w:tr>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Voda</w:t>
            </w:r>
          </w:p>
        </w:tc>
        <w:tc>
          <w:tcPr>
            <w:tcW w:type="dxa" w:w="4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Zbiranje, shranjevanje, ponovna raba, odpornost na sušo</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 vodni sistem za celotno območje</w:t>
            </w:r>
          </w:p>
        </w:tc>
      </w:tr>
      <w:tr>
        <w:tc>
          <w:tcPr>
            <w:tcW w:type="dxa" w:w="1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Prostor</w:t>
            </w:r>
          </w:p>
        </w:tc>
        <w:tc>
          <w:tcPr>
            <w:tcW w:type="dxa" w:w="4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Odporna gradnja, poselitev zaledja, prilagoditev staranju</w:t>
            </w:r>
          </w:p>
        </w:tc>
        <w:tc>
          <w:tcPr>
            <w:tcW w:type="dxa" w:w="30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Regionalni prostorski plan se pripravlja zdaj</w:t>
            </w:r>
          </w:p>
        </w:tc>
      </w:tr>
      <w:tr>
        <w:tc>
          <w:tcPr>
            <w:tcW w:type="dxa" w:w="1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8. Znanje</w:t>
            </w:r>
          </w:p>
        </w:tc>
        <w:tc>
          <w:tcPr>
            <w:tcW w:type="dxa" w:w="4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Poklici demografske prihodnosti, sodelovanje z UP in šolami</w:t>
            </w:r>
          </w:p>
        </w:tc>
        <w:tc>
          <w:tcPr>
            <w:tcW w:type="dxa" w:w="30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Izobraževalne ustanove so regijske</w:t>
            </w:r>
          </w:p>
        </w:tc>
      </w:tr>
    </w:tbl>
    <w:p>
      <w:pPr>
        <w:pStyle w:val="Heading2"/>
        <w:spacing w:after="140" w:before="320"/>
      </w:pPr>
      <w:r>
        <w:rPr>
          <w:b/>
          <w:bCs/>
          <w:color w:val="146C74"/>
          <w:sz w:val="25"/>
          <w:szCs w:val="25"/>
        </w:rPr>
        <w:t xml:space="preserve">7.2 Kako bi tak dogovor lahko nastal</w:t>
      </w:r>
    </w:p>
    <w:p>
      <w:pPr>
        <w:spacing w:after="140" w:line="288"/>
      </w:pPr>
      <w:r>
        <w:rPr>
          <w:sz w:val="21"/>
          <w:szCs w:val="21"/>
        </w:rPr>
        <w:t xml:space="preserve">Predlagana pot je namenoma preprosta, ker zapleteni institucionalni predlogi običajno ne preživijo menjave mandata.</w:t>
      </w:r>
    </w:p>
    <w:p>
      <w:pPr>
        <w:pStyle w:val="ListParagraph"/>
        <w:numPr>
          <w:ilvl w:val="0"/>
          <w:numId w:val="1"/>
        </w:numPr>
        <w:spacing w:after="80" w:line="276"/>
      </w:pPr>
      <w:r>
        <w:rPr>
          <w:sz w:val="21"/>
          <w:szCs w:val="21"/>
        </w:rPr>
        <w:t xml:space="preserve">Korak 1: vsaka od štirih občin v svojem svetu obravnava enak osnutek dogovora in ga po potrebi dopolni.</w:t>
      </w:r>
    </w:p>
    <w:p>
      <w:pPr>
        <w:pStyle w:val="ListParagraph"/>
        <w:numPr>
          <w:ilvl w:val="0"/>
          <w:numId w:val="1"/>
        </w:numPr>
        <w:spacing w:after="80" w:line="276"/>
      </w:pPr>
      <w:r>
        <w:rPr>
          <w:sz w:val="21"/>
          <w:szCs w:val="21"/>
        </w:rPr>
        <w:t xml:space="preserve">Korak 2: občine določijo minimalen nabor skupnih kazalnikov, ki jih bodo enotno spremljale (predlog je v Dokumentu 1).</w:t>
      </w:r>
    </w:p>
    <w:p>
      <w:pPr>
        <w:pStyle w:val="ListParagraph"/>
        <w:numPr>
          <w:ilvl w:val="0"/>
          <w:numId w:val="1"/>
        </w:numPr>
        <w:spacing w:after="80" w:line="276"/>
      </w:pPr>
      <w:r>
        <w:rPr>
          <w:sz w:val="21"/>
          <w:szCs w:val="21"/>
        </w:rPr>
        <w:t xml:space="preserve">Korak 3: enkrat letno se župani in predstavniki svetov sestanejo na javni seji, na kateri se pregleda gibanje kazalnikov.</w:t>
      </w:r>
    </w:p>
    <w:p>
      <w:pPr>
        <w:pStyle w:val="ListParagraph"/>
        <w:numPr>
          <w:ilvl w:val="0"/>
          <w:numId w:val="1"/>
        </w:numPr>
        <w:spacing w:after="80" w:line="276"/>
      </w:pPr>
      <w:r>
        <w:rPr>
          <w:sz w:val="21"/>
          <w:szCs w:val="21"/>
        </w:rPr>
        <w:t xml:space="preserve">Korak 4: dogovor se pregleda ob vsakem novem mandatu, da ne postane mrtva črka.</w:t>
      </w:r>
    </w:p>
    <w:p>
      <w:pPr>
        <w:spacing w:after="120" w:line="288"/>
      </w:pPr>
      <w:r>
        <w:rPr>
          <w:b/>
          <w:bCs/>
          <w:color w:val="7A2E8A"/>
          <w:sz w:val="21"/>
          <w:szCs w:val="21"/>
        </w:rPr>
        <w:t xml:space="preserve">[PREDLOG] </w:t>
      </w:r>
      <w:r>
        <w:rPr>
          <w:sz w:val="21"/>
          <w:szCs w:val="21"/>
        </w:rPr>
        <w:t xml:space="preserve">Ključna lastnost tega predloga je, da ne zahteva zakonske spremembe, novega organa ali dodatnega proračuna. Zahteva pisno zavezo k rednemu skupnemu pregledu podatkov. To je najnižji možni prag za začetek regionalnega usklajevanja — in prav zato dosegljiv v enem mandatu.</w:t>
      </w:r>
    </w:p>
    <w:p>
      <w:pPr>
        <w:pStyle w:val="Heading2"/>
        <w:spacing w:after="140" w:before="320"/>
      </w:pPr>
      <w:r>
        <w:rPr>
          <w:b/>
          <w:bCs/>
          <w:color w:val="146C74"/>
          <w:sz w:val="25"/>
          <w:szCs w:val="25"/>
        </w:rPr>
        <w:t xml:space="preserve">7.3 Zakaj bi to lahko podprle različne politične opcije</w:t>
      </w:r>
    </w:p>
    <w:p>
      <w:pPr>
        <w:spacing w:after="140" w:line="288"/>
      </w:pPr>
      <w:r>
        <w:rPr>
          <w:sz w:val="21"/>
          <w:szCs w:val="21"/>
        </w:rPr>
        <w:t xml:space="preserve">Dogovor ne vsebuje ideoloških odločitev o tem, koliko naj država posega v trg, kakšna naj bo davčna politika ali kakšno naj bo razmerje med javnim in zasebnim. Vsebuje zavezo, da se štiri občine o skupnih sistemih pogovarjajo na podlagi istih podatkov.</w:t>
      </w:r>
    </w:p>
    <w:p>
      <w:pPr>
        <w:spacing w:after="140" w:line="288"/>
      </w:pPr>
      <w:r>
        <w:rPr>
          <w:sz w:val="21"/>
          <w:szCs w:val="21"/>
        </w:rPr>
        <w:t xml:space="preserve">Politične opcije se lahko še naprej razlikujejo v tem, kako doseči cilje. Predlog zadeva le to, da se cilji sploh postavijo skupaj in da se merijo.</w:t>
      </w:r>
    </w:p>
    <w:p>
      <w:r>
        <w:br w:type="page"/>
      </w:r>
    </w:p>
    <w:p>
      <w:pPr>
        <w:pStyle w:val="Heading1"/>
        <w:pBdr>
          <w:bottom w:val="single" w:color="0F3D3E" w:sz="8" w:space="4"/>
        </w:pBdr>
        <w:spacing w:after="200" w:before="480"/>
      </w:pPr>
      <w:r>
        <w:rPr>
          <w:b/>
          <w:bCs/>
          <w:color w:val="0F3D3E"/>
          <w:sz w:val="30"/>
          <w:szCs w:val="30"/>
        </w:rPr>
        <w:t xml:space="preserve">8. Enajst vprašanj za vse kandidate</w:t>
      </w:r>
    </w:p>
    <w:p>
      <w:pPr>
        <w:spacing w:after="140" w:line="288"/>
      </w:pPr>
      <w:r>
        <w:rPr>
          <w:sz w:val="21"/>
          <w:szCs w:val="21"/>
        </w:rPr>
        <w:t xml:space="preserve">Naslednja vprašanja IDP javno postavlja vsem kandidatkam in kandidatom za župane ter vsem listam v štirih istrskih občinah. Vprašanja so enaka za vse in ne vsebujejo predpostavljenega pravilnega odgovora.</w:t>
      </w:r>
    </w:p>
    <w:p>
      <w:pPr>
        <w:spacing w:after="140" w:line="288"/>
      </w:pPr>
      <w:r>
        <w:rPr>
          <w:sz w:val="21"/>
          <w:szCs w:val="21"/>
        </w:rPr>
        <w:t xml:space="preserve">Mediji, občani in organizatorji soočenj jih lahko uporabijo brez navedbe vira in brez dovoljenja.</w:t>
      </w:r>
    </w:p>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1</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 vaša občina videti leta 2050?</w:t>
            </w:r>
          </w:p>
          <w:p>
            <w:r>
              <w:rPr>
                <w:i/>
                <w:iCs/>
                <w:color w:val="595959"/>
                <w:sz w:val="19"/>
                <w:szCs w:val="19"/>
              </w:rPr>
              <w:t xml:space="preserve">Vprašanje meri, ali ima kandidat časovni horizont, daljši od enega mandata.</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2</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pripravili zdravstvo in oskrbo na starejšo populacijo?</w:t>
            </w:r>
          </w:p>
          <w:p>
            <w:r>
              <w:rPr>
                <w:i/>
                <w:iCs/>
                <w:color w:val="595959"/>
                <w:sz w:val="19"/>
                <w:szCs w:val="19"/>
              </w:rPr>
              <w:t xml:space="preserve">Indeks staranja je v Piranu že 228,2, v Izoli in Ankaranu okoli 200 oziroma 210.</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3</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zadržali aktivno prebivalstvo — ne le mlade, ampak vse, ki delajo, ustvarjajo in skrbijo za druge?</w:t>
            </w:r>
          </w:p>
          <w:p>
            <w:r>
              <w:rPr>
                <w:i/>
                <w:iCs/>
                <w:color w:val="595959"/>
                <w:sz w:val="19"/>
                <w:szCs w:val="19"/>
              </w:rPr>
              <w:t xml:space="preserve">Preverja, ali kandidat demografijo razume širše od gesla o mladih.</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4</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povečali stanovanjsko dostopnost in v kakšnem obsegu?</w:t>
            </w:r>
          </w:p>
          <w:p>
            <w:r>
              <w:rPr>
                <w:i/>
                <w:iCs/>
                <w:color w:val="595959"/>
                <w:sz w:val="19"/>
                <w:szCs w:val="19"/>
              </w:rPr>
              <w:t xml:space="preserve">Odgovor je smiselno primerjati s številom stanovanj, ki so bila dejansko dana v najem v zadnjem mandatu.</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5</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Katere funkcije bi bilo po vašem mnenju smiselno izvajati regionalno in katere naj ostanejo občinske?</w:t>
            </w:r>
          </w:p>
          <w:p>
            <w:r>
              <w:rPr>
                <w:i/>
                <w:iCs/>
                <w:color w:val="595959"/>
                <w:sz w:val="19"/>
                <w:szCs w:val="19"/>
              </w:rPr>
              <w:t xml:space="preserve">Vprašanje sili v konkretno razmejitev namesto splošne podpore sodelovanju.</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6</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povečali energetsko odpornost občine?</w:t>
            </w:r>
          </w:p>
          <w:p>
            <w:r>
              <w:rPr>
                <w:i/>
                <w:iCs/>
                <w:color w:val="595959"/>
                <w:sz w:val="19"/>
                <w:szCs w:val="19"/>
              </w:rPr>
              <w:t xml:space="preserve">Zakonski okvir za energetske skupnosti v Sloveniji obstaja od leta 2024.</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7</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povečali vodno varnost?</w:t>
            </w:r>
          </w:p>
          <w:p>
            <w:r>
              <w:rPr>
                <w:i/>
                <w:iCs/>
                <w:color w:val="595959"/>
                <w:sz w:val="19"/>
                <w:szCs w:val="19"/>
              </w:rPr>
              <w:t xml:space="preserve">Upravljavec Rižanskega vodovoda je javno opozoril, da bi ob večjem pomanjkanju vode prekinitve dobave postale neizogibne.</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8</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zaščitili kmetijska zemljišča in lokalno prehransko proizvodnjo pred pozidavo?</w:t>
            </w:r>
          </w:p>
          <w:p>
            <w:r>
              <w:rPr>
                <w:i/>
                <w:iCs/>
                <w:color w:val="595959"/>
                <w:sz w:val="19"/>
                <w:szCs w:val="19"/>
              </w:rPr>
              <w:t xml:space="preserve">Regionalni prostorski plan, ki se pripravlja, je za to vprašanje odločilen.</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9</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srebrno ekonomijo uporabili kot razvojno priložnost, ne le kot strošek?</w:t>
            </w:r>
          </w:p>
          <w:p>
            <w:r>
              <w:rPr>
                <w:i/>
                <w:iCs/>
                <w:color w:val="595959"/>
                <w:sz w:val="19"/>
                <w:szCs w:val="19"/>
              </w:rPr>
              <w:t xml:space="preserve">Mestna občina Koper je srebrno ekonomijo junija 2026 že uvrstila med štiri razvojne stebre do leta 2050.</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10</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Katera znanja boste razvijali za poklice, ki jih bo regija potrebovala po letu 2040?</w:t>
            </w:r>
          </w:p>
          <w:p>
            <w:r>
              <w:rPr>
                <w:i/>
                <w:iCs/>
                <w:color w:val="595959"/>
                <w:sz w:val="19"/>
                <w:szCs w:val="19"/>
              </w:rPr>
              <w:t xml:space="preserve">Izobraževalna veriga za zdravstvene in oskrbovalne poklice traja bistveno dlje kot en mandat.</w:t>
            </w:r>
          </w:p>
        </w:tc>
      </w:tr>
    </w:tbl>
    <w:p>
      <w:pPr>
        <w:spacing w:after="100"/>
      </w:pPr>
      <w:r>
        <w:rPr>
          <w:sz w:val="10"/>
          <w:szCs w:val="10"/>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8200"/>
      </w:tblGrid>
      <w:tr>
        <w:trPr>
          <w:cantSplit/>
        </w:trPr>
        <w:tc>
          <w:tcPr>
            <w:tcW w:type="dxa" w:w="800"/>
            <w:shd w:fill="0F3D3E" w:val="clear"/>
            <w:tcMar>
              <w:top w:type="dxa" w:w="120"/>
              <w:left w:type="dxa" w:w="80"/>
              <w:bottom w:type="dxa" w:w="120"/>
              <w:right w:type="dxa" w:w="80"/>
            </w:tcMar>
            <w:vAlign w:val="top"/>
          </w:tcPr>
          <w:p>
            <w:pPr>
              <w:jc w:val="center"/>
            </w:pPr>
            <w:r>
              <w:rPr>
                <w:b/>
                <w:bCs/>
                <w:color w:val="FFFFFF"/>
                <w:sz w:val="26"/>
                <w:szCs w:val="26"/>
              </w:rPr>
              <w:t xml:space="preserve">11</w:t>
            </w:r>
          </w:p>
        </w:tc>
        <w:tc>
          <w:tcPr>
            <w:tcW w:type="dxa" w:w="8200"/>
            <w:shd w:fill="EFF4F3" w:val="clear"/>
            <w:tcMar>
              <w:top w:type="dxa" w:w="120"/>
              <w:left w:type="dxa" w:w="180"/>
              <w:bottom w:type="dxa" w:w="120"/>
              <w:right w:type="dxa" w:w="140"/>
            </w:tcMar>
          </w:tcPr>
          <w:p>
            <w:pPr>
              <w:spacing w:after="60"/>
            </w:pPr>
            <w:r>
              <w:rPr>
                <w:b/>
                <w:bCs/>
                <w:color w:val="0F3D3E"/>
                <w:sz w:val="21"/>
                <w:szCs w:val="21"/>
              </w:rPr>
              <w:t xml:space="preserve">Kako boste merili rezultat in kdaj boste o njem javno poročali?</w:t>
            </w:r>
          </w:p>
          <w:p>
            <w:r>
              <w:rPr>
                <w:i/>
                <w:iCs/>
                <w:color w:val="595959"/>
                <w:sz w:val="19"/>
                <w:szCs w:val="19"/>
              </w:rPr>
              <w:t xml:space="preserve">Brez kazalnikov in rokov ostane vsak od zgornjih odgovorov nepreverljiv.</w:t>
            </w:r>
          </w:p>
        </w:tc>
      </w:tr>
    </w:tbl>
    <w:p>
      <w:pPr>
        <w:spacing w:after="100"/>
      </w:pPr>
      <w:r>
        <w:rPr>
          <w:sz w:val="10"/>
          <w:szCs w:val="10"/>
        </w:rPr>
        <w:t xml:space="preserve"/>
      </w:r>
    </w:p>
    <w:p>
      <w:pPr>
        <w:spacing w:after="120" w:line="288"/>
      </w:pPr>
      <w:r>
        <w:rPr>
          <w:b/>
          <w:bCs/>
          <w:color w:val="7A2E8A"/>
          <w:sz w:val="21"/>
          <w:szCs w:val="21"/>
        </w:rPr>
        <w:t xml:space="preserve">[PREDLOG] </w:t>
      </w:r>
      <w:r>
        <w:rPr>
          <w:sz w:val="21"/>
          <w:szCs w:val="21"/>
        </w:rPr>
        <w:t xml:space="preserve">IDP predlaga, da se odgovori na teh enajst vprašanj zbirajo javno in objavijo v enotni obliki za vse kandidate, ki nanje odgovorijo, brez uredniškega komentarja inštituta. Neodgovarjanje se prav tako zabeleži — brez ocene, zgolj kot podatek.</w:t>
      </w:r>
    </w:p>
    <w:p>
      <w:r>
        <w:br w:type="page"/>
      </w:r>
    </w:p>
    <w:p>
      <w:pPr>
        <w:pStyle w:val="Heading1"/>
        <w:pBdr>
          <w:bottom w:val="single" w:color="0F3D3E" w:sz="8" w:space="4"/>
        </w:pBdr>
        <w:spacing w:after="200" w:before="480"/>
      </w:pPr>
      <w:r>
        <w:rPr>
          <w:b/>
          <w:bCs/>
          <w:color w:val="0F3D3E"/>
          <w:sz w:val="30"/>
          <w:szCs w:val="30"/>
        </w:rPr>
        <w:t xml:space="preserve">9. Kako uporabiti ta dokument</w:t>
      </w:r>
    </w:p>
    <w:p>
      <w:pPr>
        <w:pStyle w:val="Heading2"/>
        <w:spacing w:after="140" w:before="320"/>
      </w:pPr>
      <w:r>
        <w:rPr>
          <w:b/>
          <w:bCs/>
          <w:color w:val="146C74"/>
          <w:sz w:val="25"/>
          <w:szCs w:val="25"/>
        </w:rPr>
        <w:t xml:space="preserve">Kandidatkam in kandidatom</w:t>
      </w:r>
    </w:p>
    <w:p>
      <w:pPr>
        <w:spacing w:after="140" w:line="288"/>
      </w:pPr>
      <w:r>
        <w:rPr>
          <w:sz w:val="21"/>
          <w:szCs w:val="21"/>
        </w:rPr>
        <w:t xml:space="preserve">Vprašanja iz 8. poglavja lahko uporabite kot strukturo za demografski del svojega programa. Podatki iz 3. poglavja so javni in preverljivi; navedete jih lahko z izvirnim virom (SURS, NIJZ), ne z IDP. Če se z našo interpretacijo ne strinjate, je to legitimno — trditve, označene kot interpretacija ali hipoteza, so namenoma ločene od dejstev prav zato, da je z njimi mogoče polemizirati.</w:t>
      </w:r>
    </w:p>
    <w:p>
      <w:pPr>
        <w:pStyle w:val="Heading2"/>
        <w:spacing w:after="140" w:before="320"/>
      </w:pPr>
      <w:r>
        <w:rPr>
          <w:b/>
          <w:bCs/>
          <w:color w:val="146C74"/>
          <w:sz w:val="25"/>
          <w:szCs w:val="25"/>
        </w:rPr>
        <w:t xml:space="preserve">Volilnim listam</w:t>
      </w:r>
    </w:p>
    <w:p>
      <w:pPr>
        <w:spacing w:after="140" w:line="288"/>
      </w:pPr>
      <w:r>
        <w:rPr>
          <w:sz w:val="21"/>
          <w:szCs w:val="21"/>
        </w:rPr>
        <w:t xml:space="preserve">Predlog Istrskega dogovora (7. poglavje) je zasnovan tako, da ga lahko v svoj program vključi katerakoli lista, ne da bi se s tem opredelila do drugih političnih vprašanj. Če ga v svoj program vključi več list hkrati, je to za regijo boljši, ne slabši izid.</w:t>
      </w:r>
    </w:p>
    <w:p>
      <w:pPr>
        <w:pStyle w:val="Heading2"/>
        <w:spacing w:after="140" w:before="320"/>
      </w:pPr>
      <w:r>
        <w:rPr>
          <w:b/>
          <w:bCs/>
          <w:color w:val="146C74"/>
          <w:sz w:val="25"/>
          <w:szCs w:val="25"/>
        </w:rPr>
        <w:t xml:space="preserve">Občinskim upravam</w:t>
      </w:r>
    </w:p>
    <w:p>
      <w:pPr>
        <w:spacing w:after="140" w:line="288"/>
      </w:pPr>
      <w:r>
        <w:rPr>
          <w:sz w:val="21"/>
          <w:szCs w:val="21"/>
        </w:rPr>
        <w:t xml:space="preserve">Koledar rokov (2. poglavje) je uporaben za načrtovanje ne glede na izid volitev. Nabor kazalnikov iz Dokumenta 1 je mogoče uvesti brez zakonske spremembe — večina podatkov je že javno dostopna pri SURS in NIJZ, manjka predvsem redno zbiranje na enem mestu.</w:t>
      </w:r>
    </w:p>
    <w:p>
      <w:pPr>
        <w:pStyle w:val="Heading2"/>
        <w:spacing w:after="140" w:before="320"/>
      </w:pPr>
      <w:r>
        <w:rPr>
          <w:b/>
          <w:bCs/>
          <w:color w:val="146C74"/>
          <w:sz w:val="25"/>
          <w:szCs w:val="25"/>
        </w:rPr>
        <w:t xml:space="preserve">Medijem</w:t>
      </w:r>
    </w:p>
    <w:p>
      <w:pPr>
        <w:spacing w:after="140" w:line="288"/>
      </w:pPr>
      <w:r>
        <w:rPr>
          <w:sz w:val="21"/>
          <w:szCs w:val="21"/>
        </w:rPr>
        <w:t xml:space="preserve">Enajst vprašanj lahko uporabite na soočenjih brez navedbe vira. Opozarjamo na dve pogosti metodološki past pri poročanju o demografiji Slovenske Istre:</w:t>
      </w:r>
    </w:p>
    <w:p>
      <w:pPr>
        <w:pStyle w:val="ListParagraph"/>
        <w:numPr>
          <w:ilvl w:val="0"/>
          <w:numId w:val="1"/>
        </w:numPr>
        <w:spacing w:after="80" w:line="276"/>
      </w:pPr>
      <w:r>
        <w:rPr>
          <w:sz w:val="21"/>
          <w:szCs w:val="21"/>
        </w:rPr>
        <w:t xml:space="preserve">Število rojstev v Splošni bolnišnici Izola ni enako številu otrok, rojenih prebivalkam Slovenske Istre. Porodnišnica ima širše gravitacijsko območje, del prebivalk pa rodi drugje. Za demografske ugotovitve so potrebna rojstva po običajnem prebivališču matere.</w:t>
      </w:r>
    </w:p>
    <w:p>
      <w:pPr>
        <w:pStyle w:val="ListParagraph"/>
        <w:numPr>
          <w:ilvl w:val="0"/>
          <w:numId w:val="1"/>
        </w:numPr>
        <w:spacing w:after="80" w:line="276"/>
      </w:pPr>
      <w:r>
        <w:rPr>
          <w:sz w:val="21"/>
          <w:szCs w:val="21"/>
        </w:rPr>
        <w:t xml:space="preserve">Visoka surova stopnja umrljivosti v starejši občini ne pomeni slabšega zdravstva. Za primerjave med občinami je treba uporabiti starostno standardizirano umrljivost, ki jo objavlja NIJZ.</w:t>
      </w:r>
    </w:p>
    <w:p>
      <w:pPr>
        <w:pStyle w:val="Heading2"/>
        <w:spacing w:after="140" w:before="320"/>
      </w:pPr>
      <w:r>
        <w:rPr>
          <w:b/>
          <w:bCs/>
          <w:color w:val="146C74"/>
          <w:sz w:val="25"/>
          <w:szCs w:val="25"/>
        </w:rPr>
        <w:t xml:space="preserve">Občankam in občanom</w:t>
      </w:r>
    </w:p>
    <w:p>
      <w:pPr>
        <w:spacing w:after="140" w:line="288"/>
      </w:pPr>
      <w:r>
        <w:rPr>
          <w:sz w:val="21"/>
          <w:szCs w:val="21"/>
        </w:rPr>
        <w:t xml:space="preserve">Vprašanja iz 8. poglavja so napisana tako, da jih je mogoče postaviti neposredno na predvolilnem srečanju. Najbolj uporabno dodatno vprašanje po katerem koli odgovoru je preprosto: »Do kdaj in kako bomo vedeli, ali je uspelo?«</w:t>
      </w:r>
    </w:p>
    <w:p>
      <w:r>
        <w:br w:type="page"/>
      </w:r>
    </w:p>
    <w:p>
      <w:pPr>
        <w:pStyle w:val="Heading1"/>
        <w:pBdr>
          <w:bottom w:val="single" w:color="0F3D3E" w:sz="8" w:space="4"/>
        </w:pBdr>
        <w:spacing w:after="200" w:before="480"/>
      </w:pPr>
      <w:r>
        <w:rPr>
          <w:b/>
          <w:bCs/>
          <w:color w:val="0F3D3E"/>
          <w:sz w:val="30"/>
          <w:szCs w:val="30"/>
        </w:rPr>
        <w:t xml:space="preserve">10. Omejitve tega dokumenta</w:t>
      </w:r>
    </w:p>
    <w:p>
      <w:pPr>
        <w:spacing w:after="140" w:line="288"/>
      </w:pPr>
      <w:r>
        <w:rPr>
          <w:sz w:val="21"/>
          <w:szCs w:val="21"/>
        </w:rPr>
        <w:t xml:space="preserve">Verodostojnost nadstrankarskega gradiva je odvisna od tega, ali odkrito pove tudi tisto, kar govori proti njemu.</w:t>
      </w:r>
    </w:p>
    <w:p>
      <w:pPr>
        <w:pStyle w:val="Heading2"/>
        <w:spacing w:after="140" w:before="320"/>
      </w:pPr>
      <w:r>
        <w:rPr>
          <w:b/>
          <w:bCs/>
          <w:color w:val="146C74"/>
          <w:sz w:val="25"/>
          <w:szCs w:val="25"/>
        </w:rPr>
        <w:t xml:space="preserve">10.1 Kaj v tem dokumentu ni preverjeno</w:t>
      </w:r>
    </w:p>
    <w:p>
      <w:pPr>
        <w:pStyle w:val="ListParagraph"/>
        <w:numPr>
          <w:ilvl w:val="0"/>
          <w:numId w:val="1"/>
        </w:numPr>
        <w:spacing w:after="80" w:line="276"/>
      </w:pPr>
      <w:r>
        <w:rPr>
          <w:sz w:val="21"/>
          <w:szCs w:val="21"/>
        </w:rPr>
        <w:t xml:space="preserve">Trditve o večji pogajalski moči regije do države in EU niso kvantificirane za Slovensko Istro.</w:t>
      </w:r>
    </w:p>
    <w:p>
      <w:pPr>
        <w:pStyle w:val="ListParagraph"/>
        <w:numPr>
          <w:ilvl w:val="0"/>
          <w:numId w:val="1"/>
        </w:numPr>
        <w:spacing w:after="80" w:line="276"/>
      </w:pPr>
      <w:r>
        <w:rPr>
          <w:sz w:val="21"/>
          <w:szCs w:val="21"/>
        </w:rPr>
        <w:t xml:space="preserve">Ocena, koliko bi regija dejansko prihranila z združenim namesto štirikratnim načrtovanjem, ni izračunana.</w:t>
      </w:r>
    </w:p>
    <w:p>
      <w:pPr>
        <w:pStyle w:val="ListParagraph"/>
        <w:numPr>
          <w:ilvl w:val="0"/>
          <w:numId w:val="1"/>
        </w:numPr>
        <w:spacing w:after="80" w:line="276"/>
      </w:pPr>
      <w:r>
        <w:rPr>
          <w:sz w:val="21"/>
          <w:szCs w:val="21"/>
        </w:rPr>
        <w:t xml:space="preserve">Učinek občinskih pomoči ob rojstvu na rodnost ni dokazan v nobeni smeri — obstoj ukrepa ni dokaz njegovega učinka.</w:t>
      </w:r>
    </w:p>
    <w:p>
      <w:pPr>
        <w:pStyle w:val="ListParagraph"/>
        <w:numPr>
          <w:ilvl w:val="0"/>
          <w:numId w:val="1"/>
        </w:numPr>
        <w:spacing w:after="80" w:line="276"/>
      </w:pPr>
      <w:r>
        <w:rPr>
          <w:sz w:val="21"/>
          <w:szCs w:val="21"/>
        </w:rPr>
        <w:t xml:space="preserve">Podatki o rodnosti so na voljo za Obalno-kraško regijo, ne za štiri istrske občine posebej.</w:t>
      </w:r>
    </w:p>
    <w:p>
      <w:pPr>
        <w:pStyle w:val="ListParagraph"/>
        <w:numPr>
          <w:ilvl w:val="0"/>
          <w:numId w:val="1"/>
        </w:numPr>
        <w:spacing w:after="80" w:line="276"/>
      </w:pPr>
      <w:r>
        <w:rPr>
          <w:sz w:val="21"/>
          <w:szCs w:val="21"/>
        </w:rPr>
        <w:t xml:space="preserve">Ocena razlike med registriranim in dejanskim prebivalstvom temelji na neformalni raziskavi za Piran iz leta 2020, ki ni uradni popis in je bila metodološko prekinjena zaradi epidemije.</w:t>
      </w:r>
    </w:p>
    <w:p>
      <w:pPr>
        <w:pStyle w:val="Heading2"/>
        <w:spacing w:after="140" w:before="320"/>
      </w:pPr>
      <w:r>
        <w:rPr>
          <w:b/>
          <w:bCs/>
          <w:color w:val="146C74"/>
          <w:sz w:val="25"/>
          <w:szCs w:val="25"/>
        </w:rPr>
        <w:t xml:space="preserve">10.2 Česa IDP ne bo počel v tej volilni kampanji</w:t>
      </w:r>
    </w:p>
    <w:p>
      <w:pPr>
        <w:pStyle w:val="ListParagraph"/>
        <w:numPr>
          <w:ilvl w:val="0"/>
          <w:numId w:val="1"/>
        </w:numPr>
        <w:spacing w:after="80" w:line="276"/>
      </w:pPr>
      <w:r>
        <w:rPr>
          <w:sz w:val="21"/>
          <w:szCs w:val="21"/>
        </w:rPr>
        <w:t xml:space="preserve">Ne bo objavljal ocen ali primerjav programov posameznih list.</w:t>
      </w:r>
    </w:p>
    <w:p>
      <w:pPr>
        <w:pStyle w:val="ListParagraph"/>
        <w:numPr>
          <w:ilvl w:val="0"/>
          <w:numId w:val="1"/>
        </w:numPr>
        <w:spacing w:after="80" w:line="276"/>
      </w:pPr>
      <w:r>
        <w:rPr>
          <w:sz w:val="21"/>
          <w:szCs w:val="21"/>
        </w:rPr>
        <w:t xml:space="preserve">Ne bo sodeloval v kampanji nobenega kandidata in ne bo nastopal na strankarskih dogodkih.</w:t>
      </w:r>
    </w:p>
    <w:p>
      <w:pPr>
        <w:pStyle w:val="ListParagraph"/>
        <w:numPr>
          <w:ilvl w:val="0"/>
          <w:numId w:val="1"/>
        </w:numPr>
        <w:spacing w:after="80" w:line="276"/>
      </w:pPr>
      <w:r>
        <w:rPr>
          <w:sz w:val="21"/>
          <w:szCs w:val="21"/>
        </w:rPr>
        <w:t xml:space="preserve">Ne bo objavljal napovedi izida volitev.</w:t>
      </w:r>
    </w:p>
    <w:p>
      <w:pPr>
        <w:pStyle w:val="ListParagraph"/>
        <w:numPr>
          <w:ilvl w:val="0"/>
          <w:numId w:val="1"/>
        </w:numPr>
        <w:spacing w:after="80" w:line="276"/>
      </w:pPr>
      <w:r>
        <w:rPr>
          <w:sz w:val="21"/>
          <w:szCs w:val="21"/>
        </w:rPr>
        <w:t xml:space="preserve">Odgovorov na enajst vprašanj ne bo komentiral ali ocenjeval — objavil jih bo v enotni obliki, brez uredniške sodbe.</w:t>
      </w:r>
    </w:p>
    <w:p>
      <w:pPr>
        <w:pStyle w:val="Heading2"/>
        <w:spacing w:after="140" w:before="320"/>
      </w:pPr>
      <w:r>
        <w:rPr>
          <w:b/>
          <w:bCs/>
          <w:color w:val="146C74"/>
          <w:sz w:val="25"/>
          <w:szCs w:val="25"/>
        </w:rPr>
        <w:t xml:space="preserve">10.3 Popravki</w:t>
      </w:r>
    </w:p>
    <w:p>
      <w:pPr>
        <w:spacing w:after="140" w:line="288"/>
      </w:pPr>
      <w:r>
        <w:rPr>
          <w:sz w:val="21"/>
          <w:szCs w:val="21"/>
        </w:rPr>
        <w:t xml:space="preserve">Če je v tem dokumentu napaka v podatku, viru ali datumu, jo IDP popravi in popravek javno označi. To velja ne glede na to, kdo na napako opozori.</w:t>
      </w:r>
    </w:p>
    <w:p>
      <w:pPr>
        <w:spacing w:after="100"/>
      </w:pPr>
      <w:r>
        <w:rPr>
          <w:sz w:val="10"/>
          <w:szCs w:val="10"/>
        </w:rPr>
        <w:t xml:space="preserve"/>
      </w:r>
    </w:p>
    <w:p>
      <w:pPr>
        <w:pBdr>
          <w:left w:val="single" w:color="8C6D31" w:sz="16" w:space="8"/>
        </w:pBdr>
        <w:spacing w:after="200" w:before="100"/>
        <w:ind w:left="400"/>
      </w:pPr>
      <w:r>
        <w:rPr>
          <w:i/>
          <w:iCs/>
          <w:color w:val="0F3D3E"/>
          <w:sz w:val="21"/>
          <w:szCs w:val="21"/>
        </w:rPr>
        <w:t xml:space="preserve">Prihodnosti ne moremo natančno napovedati. Lahko pa zmanjšamo svojo ranljivost nanjo.</w:t>
      </w:r>
    </w:p>
    <w:p>
      <w:pPr>
        <w:spacing w:after="140" w:line="288"/>
      </w:pPr>
      <w:r>
        <w:rPr>
          <w:sz w:val="21"/>
          <w:szCs w:val="21"/>
        </w:rPr>
        <w:t xml:space="preserve">Demografska odpornost pomeni, da lahko skupnost zagotavlja kakovostno življenje tudi takrat, ko ima več starejših, manj razpoložljive delovne sile in bolj nestabilno zunanje okolje.</w:t>
      </w:r>
    </w:p>
    <w:p>
      <w:pPr>
        <w:pBdr>
          <w:left w:val="single" w:color="8C6D31" w:sz="16" w:space="8"/>
        </w:pBdr>
        <w:spacing w:after="200" w:before="100"/>
        <w:ind w:left="400"/>
      </w:pPr>
      <w:r>
        <w:rPr>
          <w:i/>
          <w:iCs/>
          <w:color w:val="0F3D3E"/>
          <w:sz w:val="21"/>
          <w:szCs w:val="21"/>
        </w:rPr>
        <w:t xml:space="preserve">Ali današnje odločitve povečujejo ali zmanjšujejo sposobnost Slovenske Istre, da bo leta 2050 dobro okolje za otroke, družine, aktivne ljudi in starejše generacije?</w:t>
      </w:r>
    </w:p>
    <w:p>
      <w:r>
        <w:br w:type="page"/>
      </w:r>
    </w:p>
    <w:p>
      <w:pPr>
        <w:pStyle w:val="Heading1"/>
        <w:pBdr>
          <w:bottom w:val="single" w:color="0F3D3E" w:sz="8" w:space="4"/>
        </w:pBdr>
        <w:spacing w:after="200" w:before="480"/>
      </w:pPr>
      <w:r>
        <w:rPr>
          <w:b/>
          <w:bCs/>
          <w:color w:val="0F3D3E"/>
          <w:sz w:val="30"/>
          <w:szCs w:val="30"/>
        </w:rPr>
        <w:t xml:space="preserve">Priloga — Viri</w:t>
      </w:r>
    </w:p>
    <w:p>
      <w:pPr>
        <w:pStyle w:val="Heading2"/>
        <w:spacing w:after="140" w:before="320"/>
      </w:pPr>
      <w:r>
        <w:rPr>
          <w:b/>
          <w:bCs/>
          <w:color w:val="146C74"/>
          <w:sz w:val="25"/>
          <w:szCs w:val="25"/>
        </w:rPr>
        <w:t xml:space="preserve">Volilni in pravni okvir</w:t>
      </w:r>
    </w:p>
    <w:p>
      <w:pPr>
        <w:pStyle w:val="ListParagraph"/>
        <w:numPr>
          <w:ilvl w:val="0"/>
          <w:numId w:val="1"/>
        </w:numPr>
        <w:spacing w:after="80" w:line="276"/>
      </w:pPr>
      <w:r>
        <w:rPr>
          <w:sz w:val="21"/>
          <w:szCs w:val="21"/>
        </w:rPr>
        <w:t xml:space="preserve">Predsednik Državnega zbora RS: razpis rednih lokalnih volitev 2026 v 212 občinah — glasovanje 15. novembra 2026, razpis 7. septembra 2026, morebitni drugi krog 29. novembra 2026.</w:t>
      </w:r>
    </w:p>
    <w:p>
      <w:pPr>
        <w:pStyle w:val="ListParagraph"/>
        <w:numPr>
          <w:ilvl w:val="0"/>
          <w:numId w:val="1"/>
        </w:numPr>
        <w:spacing w:after="80" w:line="276"/>
      </w:pPr>
      <w:r>
        <w:rPr>
          <w:sz w:val="21"/>
          <w:szCs w:val="21"/>
        </w:rPr>
        <w:t>Sklep o določitvi občin z visokim tveganjem negativnih vplivov kratkotrajnega najema (objavljen 8. maja 2026): 14 občin, med njimi Koper, Izola, Piran in Ankaran; privzeta omejitev 60 dni za leti 2027 in 2028; občinski razpon 30–270 dni; rok za občinski akt 31. oktober 2026.</w:t>
      </w:r>
    </w:p>
    <w:p>
      <w:pPr>
        <w:pStyle w:val="ListParagraph"/>
        <w:numPr>
          <w:ilvl w:val="0"/>
          <w:numId w:val="1"/>
        </w:numPr>
        <w:spacing w:after="80" w:line="276"/>
      </w:pPr>
      <w:r>
        <w:rPr>
          <w:sz w:val="21"/>
          <w:szCs w:val="21"/>
        </w:rPr>
        <w:t>Zakon o dolgotrajni oskrbi (ZDOsk-1, Uradni list RS 84/23, s spremembami) in novela, sprejeta 12. junija 2025; prispevek velja od 1. julija 2025.</w:t>
      </w:r>
    </w:p>
    <w:p>
      <w:pPr>
        <w:pStyle w:val="ListParagraph"/>
        <w:numPr>
          <w:ilvl w:val="0"/>
          <w:numId w:val="1"/>
        </w:numPr>
        <w:spacing w:after="80" w:line="276"/>
      </w:pPr>
      <w:r>
        <w:rPr>
          <w:sz w:val="21"/>
          <w:szCs w:val="21"/>
        </w:rPr>
        <w:t xml:space="preserve">Energetski zakon (EZ-2, Uradni list RS, 2024) in Zakon o oskrbi z električno energijo (ZOEE) — okvir za energetske skupnosti.</w:t>
      </w:r>
    </w:p>
    <w:p>
      <w:pPr>
        <w:pStyle w:val="Heading2"/>
        <w:spacing w:after="140" w:before="320"/>
      </w:pPr>
      <w:r>
        <w:rPr>
          <w:b/>
          <w:bCs/>
          <w:color w:val="146C74"/>
          <w:sz w:val="25"/>
          <w:szCs w:val="25"/>
        </w:rPr>
        <w:t xml:space="preserve">Demografski in zdravstveni podatki</w:t>
      </w:r>
    </w:p>
    <w:p>
      <w:pPr>
        <w:pStyle w:val="ListParagraph"/>
        <w:numPr>
          <w:ilvl w:val="0"/>
          <w:numId w:val="1"/>
        </w:numPr>
        <w:spacing w:after="80" w:line="276"/>
      </w:pPr>
      <w:r>
        <w:rPr>
          <w:sz w:val="21"/>
          <w:szCs w:val="21"/>
        </w:rPr>
        <w:t xml:space="preserve">Statistični urad Republike Slovenije (SURS): občinski podatki za leto 2024; podatki o rodnosti Obalno-kraške regije za leto 2024; projekcije EUROPOP2025 (objava 18. junija 2026).</w:t>
      </w:r>
    </w:p>
    <w:p>
      <w:pPr>
        <w:pStyle w:val="ListParagraph"/>
        <w:numPr>
          <w:ilvl w:val="0"/>
          <w:numId w:val="1"/>
        </w:numPr>
        <w:spacing w:after="80" w:line="276"/>
      </w:pPr>
      <w:r>
        <w:rPr>
          <w:sz w:val="21"/>
          <w:szCs w:val="21"/>
        </w:rPr>
        <w:t xml:space="preserve">Nacionalni inštitut za javno zdravje (NIJZ): obcine.nijz.si — starostno standardizirana umrljivost, zdravstveni kazalniki po občinah.</w:t>
      </w:r>
    </w:p>
    <w:p>
      <w:pPr>
        <w:pStyle w:val="Heading2"/>
        <w:spacing w:after="140" w:before="320"/>
      </w:pPr>
      <w:r>
        <w:rPr>
          <w:b/>
          <w:bCs/>
          <w:color w:val="146C74"/>
          <w:sz w:val="25"/>
          <w:szCs w:val="25"/>
        </w:rPr>
        <w:t xml:space="preserve">Prostorsko in razvojno načrtovanje</w:t>
      </w:r>
    </w:p>
    <w:p>
      <w:pPr>
        <w:pStyle w:val="ListParagraph"/>
        <w:numPr>
          <w:ilvl w:val="0"/>
          <w:numId w:val="1"/>
        </w:numPr>
        <w:spacing w:after="80" w:line="276"/>
      </w:pPr>
      <w:r>
        <w:rPr>
          <w:sz w:val="21"/>
          <w:szCs w:val="21"/>
        </w:rPr>
        <w:t xml:space="preserve">Regionalni razvojni center Koper: Regionalni prostorski plan Obalno-Kraške razvojne regije — javno posvetovanje 20. junij–31. julij 2026, javna razprava predvidoma konec leta 2026, zakonski rok za sprejem do 1. januarja 2028; urbanistična zasnova širšega mestnega območja Slovenske Istre.</w:t>
      </w:r>
    </w:p>
    <w:p>
      <w:pPr>
        <w:pStyle w:val="ListParagraph"/>
        <w:numPr>
          <w:ilvl w:val="0"/>
          <w:numId w:val="1"/>
        </w:numPr>
        <w:spacing w:after="80" w:line="276"/>
      </w:pPr>
      <w:r>
        <w:rPr>
          <w:sz w:val="21"/>
          <w:szCs w:val="21"/>
        </w:rPr>
        <w:t xml:space="preserve">Regionalni razvojni center Koper: Regionalni razvojni program Obalno-kraške regije 2021–2027.</w:t>
      </w:r>
    </w:p>
    <w:p>
      <w:pPr>
        <w:pStyle w:val="ListParagraph"/>
        <w:numPr>
          <w:ilvl w:val="0"/>
          <w:numId w:val="1"/>
        </w:numPr>
        <w:spacing w:after="80" w:line="276"/>
      </w:pPr>
      <w:r>
        <w:rPr>
          <w:sz w:val="21"/>
          <w:szCs w:val="21"/>
        </w:rPr>
        <w:t xml:space="preserve">Urbanistični inštitut RS: program dela za leto 2026 — posodobitev demografske študije občine Piran.</w:t>
      </w:r>
    </w:p>
    <w:p>
      <w:pPr>
        <w:pStyle w:val="Heading2"/>
        <w:spacing w:after="140" w:before="320"/>
      </w:pPr>
      <w:r>
        <w:rPr>
          <w:b/>
          <w:bCs/>
          <w:color w:val="146C74"/>
          <w:sz w:val="25"/>
          <w:szCs w:val="25"/>
        </w:rPr>
        <w:t xml:space="preserve">Občinski viri</w:t>
      </w:r>
    </w:p>
    <w:p>
      <w:pPr>
        <w:pStyle w:val="ListParagraph"/>
        <w:numPr>
          <w:ilvl w:val="0"/>
          <w:numId w:val="1"/>
        </w:numPr>
        <w:spacing w:after="80" w:line="276"/>
      </w:pPr>
      <w:r>
        <w:rPr>
          <w:sz w:val="21"/>
          <w:szCs w:val="21"/>
        </w:rPr>
        <w:t xml:space="preserve">Mestna občina Koper: Nova Dolinska (2024); enkratna pomoč ob rojstvu od leta 2007.</w:t>
      </w:r>
    </w:p>
    <w:p>
      <w:pPr>
        <w:pStyle w:val="ListParagraph"/>
        <w:numPr>
          <w:ilvl w:val="0"/>
          <w:numId w:val="1"/>
        </w:numPr>
        <w:spacing w:after="80" w:line="276"/>
      </w:pPr>
      <w:r>
        <w:rPr>
          <w:sz w:val="21"/>
          <w:szCs w:val="21"/>
        </w:rPr>
        <w:t xml:space="preserve">Znanstveno-raziskovalno središče Koper: razvojne usmeritve Mestne občine Koper do leta 2050 (junij 2026) — štirje razvojni stebri, vključno s srebrno ekonomijo.</w:t>
      </w:r>
    </w:p>
    <w:p>
      <w:pPr>
        <w:pStyle w:val="ListParagraph"/>
        <w:numPr>
          <w:ilvl w:val="0"/>
          <w:numId w:val="1"/>
        </w:numPr>
        <w:spacing w:after="80" w:line="276"/>
      </w:pPr>
      <w:r>
        <w:rPr>
          <w:sz w:val="21"/>
          <w:szCs w:val="21"/>
        </w:rPr>
        <w:t xml:space="preserve">Občina Izola: pravilnik o najemnih stanovanjih za mlade in mlade družine (november 2025); prvih 11 stanovanj in 41 vlog (marec 2026); dom starejših v Livadah.</w:t>
      </w:r>
    </w:p>
    <w:p>
      <w:pPr>
        <w:pStyle w:val="ListParagraph"/>
        <w:numPr>
          <w:ilvl w:val="0"/>
          <w:numId w:val="1"/>
        </w:numPr>
        <w:spacing w:after="80" w:line="276"/>
      </w:pPr>
      <w:r>
        <w:rPr>
          <w:sz w:val="21"/>
          <w:szCs w:val="21"/>
        </w:rPr>
        <w:t xml:space="preserve">Občina Piran: odlok o enkratni pomoči ob rojstvu (2019, 2020); prodaja zemljišč na Košti za najmanj 60 javnih najemnih stanovanj (februar 2026); poročilo nadzornega odbora o stanovanjski politiki 2022–2023 (julij 2026).</w:t>
      </w:r>
    </w:p>
    <w:p>
      <w:pPr>
        <w:pStyle w:val="ListParagraph"/>
        <w:numPr>
          <w:ilvl w:val="0"/>
          <w:numId w:val="1"/>
        </w:numPr>
        <w:spacing w:after="80" w:line="276"/>
      </w:pPr>
      <w:r>
        <w:rPr>
          <w:sz w:val="21"/>
          <w:szCs w:val="21"/>
        </w:rPr>
        <w:t xml:space="preserve">Občina Ankaran: pomoč ob rojstvu 500 EUR; OPN 2020 z območji za soseske za mlade; projekt Dolge njive; Medgeneracijsko središče (2022).</w:t>
      </w:r>
    </w:p>
    <w:p>
      <w:pPr>
        <w:pStyle w:val="Heading2"/>
        <w:spacing w:after="140" w:before="320"/>
      </w:pPr>
      <w:r>
        <w:rPr>
          <w:b/>
          <w:bCs/>
          <w:color w:val="146C74"/>
          <w:sz w:val="25"/>
          <w:szCs w:val="25"/>
        </w:rPr>
        <w:t xml:space="preserve">Infrastruktura</w:t>
      </w:r>
    </w:p>
    <w:p>
      <w:pPr>
        <w:pStyle w:val="ListParagraph"/>
        <w:numPr>
          <w:ilvl w:val="0"/>
          <w:numId w:val="1"/>
        </w:numPr>
        <w:spacing w:after="80" w:line="276"/>
      </w:pPr>
      <w:r>
        <w:rPr>
          <w:sz w:val="21"/>
          <w:szCs w:val="21"/>
        </w:rPr>
        <w:t xml:space="preserve">Rižanski vodovod Koper d.o.o.: sporočila o stanju vodnih virov (2025–2026); sistem dveh čistilnih naprav, štirih vodnih virov in približno 1.000 km omrežja.</w:t>
      </w:r>
    </w:p>
    <w:p>
      <w:pPr>
        <w:pStyle w:val="Heading2"/>
        <w:spacing w:after="140" w:before="320"/>
      </w:pPr>
      <w:r>
        <w:rPr>
          <w:b/>
          <w:bCs/>
          <w:color w:val="146C74"/>
          <w:sz w:val="25"/>
          <w:szCs w:val="25"/>
        </w:rPr>
        <w:t xml:space="preserve">Gradiva IDP</w:t>
      </w:r>
    </w:p>
    <w:p>
      <w:pPr>
        <w:pStyle w:val="ListParagraph"/>
        <w:numPr>
          <w:ilvl w:val="0"/>
          <w:numId w:val="1"/>
        </w:numPr>
        <w:spacing w:after="80" w:line="276"/>
      </w:pPr>
      <w:r>
        <w:rPr>
          <w:sz w:val="21"/>
          <w:szCs w:val="21"/>
        </w:rPr>
        <w:t xml:space="preserve">IDP: Demografski paradoks Slovenske Istre — Dokument 1 iste zbirke (avgust 2026).</w:t>
      </w:r>
    </w:p>
    <w:p>
      <w:pPr>
        <w:pStyle w:val="ListParagraph"/>
        <w:numPr>
          <w:ilvl w:val="0"/>
          <w:numId w:val="1"/>
        </w:numPr>
        <w:spacing w:after="80" w:line="276"/>
      </w:pPr>
      <w:r>
        <w:rPr>
          <w:sz w:val="21"/>
          <w:szCs w:val="21"/>
        </w:rPr>
        <w:t xml:space="preserve">IDP: Izhodišče raziskave — Demografska prihodnost Slovenske Istre (21. avgust 2026).</w:t>
      </w:r>
    </w:p>
    <w:p>
      <w:pPr>
        <w:pStyle w:val="ListParagraph"/>
        <w:numPr>
          <w:ilvl w:val="0"/>
          <w:numId w:val="1"/>
        </w:numPr>
        <w:spacing w:after="80" w:line="276"/>
      </w:pPr>
      <w:r>
        <w:rPr>
          <w:sz w:val="21"/>
          <w:szCs w:val="21"/>
        </w:rPr>
        <w:t xml:space="preserve">IDP: Odprta raziskovalna ideja — Demografski časovni stroj (2026).</w:t>
      </w:r>
    </w:p>
    <w:p>
      <w:pPr>
        <w:spacing w:after="100"/>
      </w:pPr>
      <w:r>
        <w:rPr>
          <w:sz w:val="10"/>
          <w:szCs w:val="10"/>
        </w:rPr>
        <w:t xml:space="preserve"/>
      </w:r>
    </w:p>
    <w:p>
      <w:pPr>
        <w:spacing w:after="140" w:line="288"/>
      </w:pPr>
      <w:r>
        <w:rPr>
          <w:sz w:val="21"/>
          <w:szCs w:val="21"/>
        </w:rPr>
        <w:t xml:space="preserve">Opomba: kjer je bil podatek pridobljen prek povzetka novinarskega poročanja namesto neposrednega branja primarnega uradnega dokumenta, je to v besedilu označeno. Pred nadaljnjo javno uporabo priporočamo preverbo najpomembnejših trditev v primarnem viru.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C8" w:sz="4" w:space="4"/>
      </w:pBdr>
      <w:tabs>
        <w:tab w:val="right" w:pos="9026"/>
      </w:tabs>
    </w:pPr>
    <w:r>
      <w:rPr>
        <w:color w:val="595959"/>
        <w:sz w:val="16"/>
        <w:szCs w:val="16"/>
      </w:rPr>
      <w:t xml:space="preserve">IDP · NEO ARK 2035 · nadstrankarsko gradivo</w:t>
    </w:r>
    <w:r>
      <w:rPr>
        <w:color w:val="595959"/>
        <w:sz w:val="16"/>
        <w:szCs w:val="16"/>
      </w:rPr>
      <w:t xml:space="preserve">	Mandat, ki odloča o letu 2050 — Dokument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Žiga Sedevčič</dc:creator>
  <cp:lastModifiedBy>Inštitut za demografsko prihodnost Slovenije — inšpekcijski pregled</cp:lastModifiedBy>
  <cp:revision>1</cp:revision>
  <dcterms:created xsi:type="dcterms:W3CDTF">2026-08-22T11:39:20.449Z</dcterms:created>
  <dcterms:modified xsi:type="dcterms:W3CDTF">2026-08-22T11:39:20.450Z</dcterms:modified>
  <dc:title>Mandat ki odloca o letu 2050 - Dokument 2 (Komentar ob lokalnih volitvah 2026)</dc:title>
  <dc:description>Neodvisni inšpekcijski pregled IDP, 27. avgust 2026</dc:description>
</cp:coreProperties>
</file>

<file path=docProps/custom.xml><?xml version="1.0" encoding="utf-8"?>
<Properties xmlns="http://schemas.openxmlformats.org/officeDocument/2006/custom-properties" xmlns:vt="http://schemas.openxmlformats.org/officeDocument/2006/docPropsVTypes"/>
</file>