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b/>
          <w:bCs/>
          <w:color w:val="8C6D31"/>
          <w:sz w:val="22"/>
          <w:szCs w:val="22"/>
        </w:rPr>
        <w:t>INŠTITUT ZA DEMOGRAFSKO PRIHODNOST SLOVENIJE</w:t>
      </w:r>
    </w:p>
    <w:p>
      <w:pPr>
        <w:spacing w:after="600"/>
      </w:pPr>
      <w:r>
        <w:rPr>
          <w:color w:val="595959"/>
          <w:sz w:val="18"/>
          <w:szCs w:val="18"/>
        </w:rPr>
        <w:t xml:space="preserve">NEO ARK 2035</w:t>
      </w:r>
    </w:p>
    <w:p>
      <w:pPr>
        <w:spacing w:after="120"/>
      </w:pPr>
      <w:r>
        <w:rPr>
          <w:b/>
          <w:bCs/>
          <w:color w:val="0F3D3E"/>
          <w:sz w:val="52"/>
          <w:szCs w:val="52"/>
        </w:rPr>
        <w:t xml:space="preserve">DEMOGRAFSKI PARADOKS SLOVENSKE ISTRE</w:t>
      </w:r>
    </w:p>
    <w:p>
      <w:pPr>
        <w:spacing w:after="100"/>
      </w:pPr>
      <w:r>
        <w:rPr>
          <w:i/>
          <w:iCs/>
          <w:color w:val="146C74"/>
          <w:sz w:val="26"/>
          <w:szCs w:val="26"/>
        </w:rPr>
        <w:t xml:space="preserve">Rodnost, staranje, migracije, stanovanja in sistemska odpornost Kopra, Izole, Pirana in Ankarana</w:t>
      </w:r>
    </w:p>
    <w:p>
      <w:pPr>
        <w:spacing w:after="100" w:before="200"/>
      </w:pPr>
      <w:r>
        <w:rPr>
          <w:i/>
          <w:iCs/>
          <w:color w:val="595959"/>
          <w:sz w:val="22"/>
          <w:szCs w:val="22"/>
        </w:rPr>
        <w:t xml:space="preserve">Kako lahko prebivalstvo raste, ko se rodi manj ljudi, kot jih umre?</w:t>
      </w:r>
    </w:p>
    <w:p>
      <w:pPr>
        <w:spacing w:before="600"/>
      </w:pPr>
      <w:r>
        <w:rPr>
          <w:b/>
          <w:bCs/>
          <w:color w:val="8C6D31"/>
          <w:sz w:val="20"/>
          <w:szCs w:val="20"/>
        </w:rPr>
        <w:t xml:space="preserve">DOKUMENT 1 / 4 — TEMELJNI RAZISKOVALNI DOKUMENT</w:t>
      </w:r>
    </w:p>
    <w:p>
      <w:pPr>
        <w:spacing w:after="40"/>
      </w:pPr>
      <w:r>
        <w:rPr>
          <w:sz w:val="20"/>
          <w:szCs w:val="20"/>
        </w:rPr>
        <w:t xml:space="preserve">Raziskava: demografska in sistemska odpornost Slovenske Istre</w:t>
      </w:r>
    </w:p>
    <w:p>
      <w:pPr>
        <w:spacing w:before="400"/>
      </w:pPr>
      <w:r>
        <w:rPr>
          <w:color w:val="595959"/>
          <w:sz w:val="19"/>
          <w:szCs w:val="19"/>
        </w:rPr>
        <w:t xml:space="preserve">Območje raziskave: Mestna občina Koper, Občina Izola, Občina Piran, Občina Ankaran</w:t>
      </w:r>
    </w:p>
    <w:p>
      <w:pPr>
        <w:spacing w:after="40"/>
      </w:pPr>
      <w:r>
        <w:rPr>
          <w:color w:val="595959"/>
          <w:sz w:val="19"/>
          <w:szCs w:val="19"/>
        </w:rPr>
        <w:t>Stanje pregleda podatkov: 27. avgust 2026</w:t>
      </w:r>
    </w:p>
    <w:p/>
    <w:p>
      <w:r>
        <w:t>Pripravil: Žiga Sedevčič · Neodvisni podatkovni in uredniški pregled: IDP</w:t>
      </w:r>
    </w:p>
    <w:p>
      <w:pPr>
        <w:spacing w:after="40"/>
      </w:pPr>
      <w:r>
        <w:rPr>
          <w:color w:val="595959"/>
          <w:sz w:val="19"/>
          <w:szCs w:val="19"/>
        </w:rPr>
        <w:t>Pregledana različica 1.1 · Strokovno gradivo z jasno navedenimi omejitvami</w:t>
      </w:r>
    </w:p>
    <w:p>
      <w:r>
        <w:br w:type="page"/>
      </w:r>
    </w:p>
    <w:p>
      <w:pPr>
        <w:pStyle w:val="Heading1"/>
        <w:pBdr>
          <w:bottom w:val="single" w:color="0F3D3E" w:sz="8" w:space="4"/>
        </w:pBdr>
        <w:spacing w:after="200" w:before="480"/>
      </w:pPr>
      <w:r>
        <w:rPr>
          <w:b/>
          <w:bCs/>
          <w:color w:val="0F3D3E"/>
          <w:sz w:val="30"/>
          <w:szCs w:val="30"/>
        </w:rPr>
        <w:t xml:space="preserve">Kazalo vsebine</w:t>
      </w:r>
    </w:p>
    <w:p>
      <w:pPr>
        <w:spacing w:after="90"/>
      </w:pPr>
      <w:r>
        <w:rPr>
          <w:color w:val="0F3D3E"/>
          <w:sz w:val="21"/>
          <w:szCs w:val="21"/>
        </w:rPr>
        <w:t xml:space="preserve">1. Povzetek</w:t>
      </w:r>
    </w:p>
    <w:p>
      <w:pPr>
        <w:spacing w:after="90"/>
      </w:pPr>
      <w:r>
        <w:rPr>
          <w:color w:val="0F3D3E"/>
          <w:sz w:val="21"/>
          <w:szCs w:val="21"/>
        </w:rPr>
        <w:t xml:space="preserve">2. Demografska slika</w:t>
      </w:r>
    </w:p>
    <w:p>
      <w:pPr>
        <w:spacing w:after="90"/>
      </w:pPr>
      <w:r>
        <w:rPr>
          <w:color w:val="0F3D3E"/>
          <w:sz w:val="21"/>
          <w:szCs w:val="21"/>
        </w:rPr>
        <w:t xml:space="preserve">3. Projekcije</w:t>
      </w:r>
    </w:p>
    <w:p>
      <w:pPr>
        <w:spacing w:after="90"/>
      </w:pPr>
      <w:r>
        <w:rPr>
          <w:color w:val="0F3D3E"/>
          <w:sz w:val="21"/>
          <w:szCs w:val="21"/>
        </w:rPr>
        <w:t xml:space="preserve">4. Staranje</w:t>
      </w:r>
    </w:p>
    <w:p>
      <w:pPr>
        <w:spacing w:after="90"/>
      </w:pPr>
      <w:r>
        <w:rPr>
          <w:color w:val="0F3D3E"/>
          <w:sz w:val="21"/>
          <w:szCs w:val="21"/>
        </w:rPr>
        <w:t xml:space="preserve">5. Zdravstveni sistem in dolgotrajna oskrba</w:t>
      </w:r>
    </w:p>
    <w:p>
      <w:pPr>
        <w:spacing w:after="90"/>
      </w:pPr>
      <w:r>
        <w:rPr>
          <w:color w:val="0F3D3E"/>
          <w:sz w:val="21"/>
          <w:szCs w:val="21"/>
        </w:rPr>
        <w:t xml:space="preserve">6. Delovna sila in aktivno prebivalstvo</w:t>
      </w:r>
    </w:p>
    <w:p>
      <w:pPr>
        <w:spacing w:after="90"/>
      </w:pPr>
      <w:r>
        <w:rPr>
          <w:color w:val="0F3D3E"/>
          <w:sz w:val="21"/>
          <w:szCs w:val="21"/>
        </w:rPr>
        <w:t xml:space="preserve">7. Digitalizacija in avtomatizacija</w:t>
      </w:r>
    </w:p>
    <w:p>
      <w:pPr>
        <w:spacing w:after="90"/>
      </w:pPr>
      <w:r>
        <w:rPr>
          <w:color w:val="0F3D3E"/>
          <w:sz w:val="21"/>
          <w:szCs w:val="21"/>
        </w:rPr>
        <w:t xml:space="preserve">8. Stanovanja</w:t>
      </w:r>
    </w:p>
    <w:p>
      <w:pPr>
        <w:spacing w:after="90"/>
      </w:pPr>
      <w:r>
        <w:rPr>
          <w:color w:val="0F3D3E"/>
          <w:sz w:val="21"/>
          <w:szCs w:val="21"/>
        </w:rPr>
        <w:t xml:space="preserve">9. Hrana in prehranska odpornost</w:t>
      </w:r>
    </w:p>
    <w:p>
      <w:pPr>
        <w:spacing w:after="90"/>
      </w:pPr>
      <w:r>
        <w:rPr>
          <w:color w:val="0F3D3E"/>
          <w:sz w:val="21"/>
          <w:szCs w:val="21"/>
        </w:rPr>
        <w:t xml:space="preserve">10. Energija</w:t>
      </w:r>
    </w:p>
    <w:p>
      <w:pPr>
        <w:spacing w:after="90"/>
      </w:pPr>
      <w:r>
        <w:rPr>
          <w:color w:val="0F3D3E"/>
          <w:sz w:val="21"/>
          <w:szCs w:val="21"/>
        </w:rPr>
        <w:t xml:space="preserve">11. Voda</w:t>
      </w:r>
    </w:p>
    <w:p>
      <w:pPr>
        <w:spacing w:after="90"/>
      </w:pPr>
      <w:r>
        <w:rPr>
          <w:color w:val="0F3D3E"/>
          <w:sz w:val="21"/>
          <w:szCs w:val="21"/>
        </w:rPr>
        <w:t xml:space="preserve">12. Podnebna odpornost in gradnja</w:t>
      </w:r>
    </w:p>
    <w:p>
      <w:pPr>
        <w:spacing w:after="90"/>
      </w:pPr>
      <w:r>
        <w:rPr>
          <w:color w:val="0F3D3E"/>
          <w:sz w:val="21"/>
          <w:szCs w:val="21"/>
        </w:rPr>
        <w:t xml:space="preserve">13. Regionalizacija</w:t>
      </w:r>
    </w:p>
    <w:p>
      <w:pPr>
        <w:spacing w:after="90"/>
      </w:pPr>
      <w:r>
        <w:rPr>
          <w:color w:val="0F3D3E"/>
          <w:sz w:val="21"/>
          <w:szCs w:val="21"/>
        </w:rPr>
        <w:t xml:space="preserve">14. Srebrna ekonomija in longevity economy</w:t>
      </w:r>
    </w:p>
    <w:p>
      <w:pPr>
        <w:spacing w:after="90"/>
      </w:pPr>
      <w:r>
        <w:rPr>
          <w:color w:val="0F3D3E"/>
          <w:sz w:val="21"/>
          <w:szCs w:val="21"/>
        </w:rPr>
        <w:t xml:space="preserve">15. Izobraževanje in poklici demografske prihodnosti</w:t>
      </w:r>
    </w:p>
    <w:p>
      <w:pPr>
        <w:spacing w:after="90"/>
      </w:pPr>
      <w:r>
        <w:rPr>
          <w:color w:val="0F3D3E"/>
          <w:sz w:val="21"/>
          <w:szCs w:val="21"/>
        </w:rPr>
        <w:t xml:space="preserve">16. Scenariji 2035 · 2050 · 2070</w:t>
      </w:r>
    </w:p>
    <w:p>
      <w:pPr>
        <w:spacing w:after="90"/>
      </w:pPr>
      <w:r>
        <w:rPr>
          <w:color w:val="0F3D3E"/>
          <w:sz w:val="21"/>
          <w:szCs w:val="21"/>
        </w:rPr>
        <w:t xml:space="preserve">17. Kazalniki za spremljanje</w:t>
      </w:r>
    </w:p>
    <w:p>
      <w:pPr>
        <w:spacing w:after="90"/>
      </w:pPr>
      <w:r>
        <w:rPr>
          <w:color w:val="0F3D3E"/>
          <w:sz w:val="21"/>
          <w:szCs w:val="21"/>
        </w:rPr>
        <w:t xml:space="preserve">18. Priporočila</w:t>
      </w:r>
    </w:p>
    <w:p>
      <w:pPr>
        <w:spacing w:after="90"/>
      </w:pPr>
      <w:r>
        <w:rPr>
          <w:color w:val="0F3D3E"/>
          <w:sz w:val="21"/>
          <w:szCs w:val="21"/>
        </w:rPr>
        <w:t xml:space="preserve">Priloga A — Demografski monokel DM-2050</w:t>
      </w:r>
    </w:p>
    <w:p>
      <w:pPr>
        <w:spacing w:after="90"/>
      </w:pPr>
      <w:r>
        <w:rPr>
          <w:color w:val="0F3D3E"/>
          <w:sz w:val="21"/>
          <w:szCs w:val="21"/>
        </w:rPr>
        <w:t xml:space="preserve">Priloga B — Viri</w:t>
      </w:r>
    </w:p>
    <w:p>
      <w:pPr>
        <w:pStyle w:val="Heading2"/>
        <w:spacing w:after="140" w:before="320"/>
      </w:pPr>
      <w:r>
        <w:rPr>
          <w:b/>
          <w:bCs/>
          <w:color w:val="146C74"/>
          <w:sz w:val="25"/>
          <w:szCs w:val="25"/>
        </w:rPr>
        <w:t xml:space="preserve">Kako brati ta dokument</w:t>
      </w:r>
    </w:p>
    <w:p>
      <w:pPr>
        <w:spacing w:after="140" w:line="288"/>
      </w:pPr>
      <w:r>
        <w:rPr>
          <w:sz w:val="21"/>
          <w:szCs w:val="21"/>
        </w:rPr>
        <w:t xml:space="preserve">Ta dokument dosledno loči štiri ravni trditev. DEJSTVO je preverljiv podatek uradnega vira z navedenim datumom. INTERPRETACIJA je razlaga tega podatka, ki jo je mogoče izpodbijati z drugo interpretacijo istih številk. HIPOTEZA je trditev, ki je še nismo preverili in jo mora prihodnja raziskava IDP posebej testirati. PREDLOG je usmeritev za politiko ali nadaljnje delo, ne sprejeta odločitev. Kjer podatka nimamo, to izrecno napišemo — ne ocenjujemo na pamet.</w:t>
      </w:r>
    </w:p>
    <w:p>
      <w:pPr>
        <w:spacing w:after="140" w:line="288"/>
      </w:pPr>
      <w:r>
        <w:rPr>
          <w:sz w:val="21"/>
          <w:szCs w:val="21"/>
        </w:rPr>
        <w:t xml:space="preserve">Izraz Slovenska Istra v tem dokumentu pomeni izključno štiri občine: Mestno občino Koper, Občino Izola, Občino Piran in Občino Ankaran. Izraz Obalno-kraška statistična regija uporabljamo samo takrat, kadar vir podatka dejansko pokriva širšo regijo (ta poleg omenjenih štirih vključuje tudi Divačo, Hrpelje - Kozino, Komen in Sežano) — ti dve ravni je treba dosledno ločevati, ker se podatki znatno razlikujejo.</w:t>
      </w:r>
    </w:p>
    <w:p>
      <w:r>
        <w:br w:type="page"/>
      </w:r>
    </w:p>
    <w:p>
      <w:pPr>
        <w:pStyle w:val="Heading1"/>
        <w:pBdr>
          <w:bottom w:val="single" w:color="0F3D3E" w:sz="8" w:space="4"/>
        </w:pBdr>
        <w:spacing w:after="200" w:before="480"/>
      </w:pPr>
      <w:r>
        <w:rPr>
          <w:b/>
          <w:bCs/>
          <w:color w:val="0F3D3E"/>
          <w:sz w:val="30"/>
          <w:szCs w:val="30"/>
        </w:rPr>
        <w:t xml:space="preserve">1. Povzetek</w:t>
      </w:r>
    </w:p>
    <w:p>
      <w:pPr>
        <w:pBdr>
          <w:left w:val="single" w:color="8C6D31" w:sz="16" w:space="8"/>
        </w:pBdr>
        <w:spacing w:after="200" w:before="100"/>
        <w:ind w:left="400"/>
      </w:pPr>
      <w:r>
        <w:rPr>
          <w:i/>
          <w:iCs/>
          <w:color w:val="0F3D3E"/>
          <w:sz w:val="21"/>
          <w:szCs w:val="21"/>
        </w:rPr>
        <w:t xml:space="preserve">Demografska odpornost ne pomeni upiranja svetu, od katerega smo odvisni. Pomeni zmanjševanje kritičnih odvisnosti in povečevanje sposobnosti skupnosti, da ob motnjah še vedno deluje.</w:t>
      </w:r>
    </w:p>
    <w:p>
      <w:pPr>
        <w:spacing w:after="140" w:line="288"/>
      </w:pPr>
      <w:r>
        <w:rPr>
          <w:sz w:val="21"/>
          <w:szCs w:val="21"/>
        </w:rPr>
        <w:t xml:space="preserve">Slovenska Istra ni zgodba o klasičnem demografskem upadanju. Je zgodba o demografskem prestrukturiranju: v vseh štirih občinah je bilo leta 2024 več smrti kot rojstev, hkrati pa so vse štiri imele pozitiven selitveni prirast, ki je naravni upad statistično zakril. Leta 2024 je imela Slovenska Istra skupaj približno 92.206 prebivalcev; naravno gibanje je bilo –369, selitveni saldo pa +692, kar je dalo skupni prirast +323.</w:t>
      </w:r>
    </w:p>
    <w:p>
      <w:pPr>
        <w:spacing w:after="120" w:line="288"/>
      </w:pPr>
      <w:r>
        <w:rPr>
          <w:b/>
          <w:bCs/>
          <w:color w:val="1B6E30"/>
          <w:sz w:val="21"/>
          <w:szCs w:val="21"/>
        </w:rPr>
        <w:t xml:space="preserve">[DEJSTVO] </w:t>
      </w:r>
      <w:r>
        <w:rPr>
          <w:sz w:val="21"/>
          <w:szCs w:val="21"/>
        </w:rPr>
        <w:t xml:space="preserve">Vse štiri občine (Koper, Izola, Piran, Ankaran) so imele leta 2024 negativen naravni prirast in pozitiven selitveni prirast.</w:t>
      </w:r>
    </w:p>
    <w:p>
      <w:pPr>
        <w:spacing w:after="220"/>
      </w:pPr>
      <w:r>
        <w:rPr>
          <w:i/>
          <w:iCs/>
          <w:color w:val="595959"/>
          <w:sz w:val="18"/>
          <w:szCs w:val="18"/>
        </w:rPr>
        <w:t xml:space="preserve">Vir: SURS, občinski podatki 2024 (stat.si/obcine)</w:t>
      </w:r>
    </w:p>
    <w:p>
      <w:pPr>
        <w:spacing w:after="140" w:line="288"/>
      </w:pPr>
      <w:r>
        <w:rPr>
          <w:sz w:val="21"/>
          <w:szCs w:val="21"/>
        </w:rPr>
        <w:t xml:space="preserve">Ta ugotovitev je osrednja raziskovalna os dokumenta: rast števila prebivalcev in demografska vitalnost nista isto. Skupno število prebivalcev lahko narašča, čeprav se generacije, ki se rodijo na tem območju, številčno ne obnavljajo. To odpira vprašanje, kdo dejansko sestavlja prebivalstvo Slovenske Istre danes in kdo ga bo leta 2035, 2050 in 2070.</w:t>
      </w:r>
    </w:p>
    <w:p>
      <w:pPr>
        <w:pStyle w:val="Heading2"/>
        <w:spacing w:after="140" w:before="320"/>
      </w:pPr>
      <w:r>
        <w:rPr>
          <w:b/>
          <w:bCs/>
          <w:color w:val="146C74"/>
          <w:sz w:val="25"/>
          <w:szCs w:val="25"/>
        </w:rPr>
        <w:t xml:space="preserve">Ključne ugotovitve</w:t>
      </w:r>
    </w:p>
    <w:p>
      <w:pPr>
        <w:pStyle w:val="ListParagraph"/>
        <w:numPr>
          <w:ilvl w:val="0"/>
          <w:numId w:val="1"/>
        </w:numPr>
        <w:spacing w:after="80" w:line="276"/>
      </w:pPr>
      <w:r>
        <w:rPr>
          <w:sz w:val="21"/>
          <w:szCs w:val="21"/>
        </w:rPr>
        <w:t xml:space="preserve">Obalno-kraška regija je imela leta 2024 najnižjo skupno stopnjo rodnosti med slovenskimi statističnimi regijami (1,3 otroka na žensko) in najvišjo povprečno starost mater ob prvem otroku (30,5 leta).</w:t>
      </w:r>
    </w:p>
    <w:p>
      <w:pPr>
        <w:pStyle w:val="ListParagraph"/>
        <w:numPr>
          <w:ilvl w:val="0"/>
          <w:numId w:val="1"/>
        </w:numPr>
        <w:spacing w:after="80" w:line="276"/>
      </w:pPr>
      <w:r>
        <w:rPr>
          <w:sz w:val="21"/>
          <w:szCs w:val="21"/>
        </w:rPr>
        <w:t xml:space="preserve">Znotraj štirih občin obstajajo velike razlike: Koper je demografsko najmlajši in najstabilnejši pol, Piran ima najvišji indeks staranja (228,2), Ankaran pa je leta 2024 zabeležil izjemno velik selitveni prirast (+37,8 na 1.000 prebivalcev) na majhni populacijski osnovi, kar zahteva previdno interpretacijo.</w:t>
      </w:r>
    </w:p>
    <w:p>
      <w:pPr>
        <w:pStyle w:val="ListParagraph"/>
        <w:numPr>
          <w:ilvl w:val="0"/>
          <w:numId w:val="1"/>
        </w:numPr>
        <w:spacing w:after="80" w:line="276"/>
      </w:pPr>
      <w:r>
        <w:rPr>
          <w:sz w:val="21"/>
          <w:szCs w:val="21"/>
        </w:rPr>
        <w:t xml:space="preserve">Neformalna raziskava (Pletikosić, 2026) ocenjuje, da lahko dejansko prebivalstvo Pirana odstopa od registriranega tudi za približno tretjino zaradi rasti sekundarnih prebivališč — to ni uradni podatek SURS, je pa raziskovalno relevanten signal, ki ga velja preveriti za vse štiri občine.</w:t>
      </w:r>
    </w:p>
    <w:p>
      <w:pPr>
        <w:pStyle w:val="ListParagraph"/>
        <w:numPr>
          <w:ilvl w:val="0"/>
          <w:numId w:val="1"/>
        </w:numPr>
        <w:spacing w:after="80" w:line="276"/>
      </w:pPr>
      <w:r>
        <w:rPr>
          <w:sz w:val="21"/>
          <w:szCs w:val="21"/>
        </w:rPr>
        <w:t>Država je 8. maja 2026 vse štiri istrske občine uvrstila med 14 slovenskih občin z visokim tveganjem negativnih učinkov kratkotrajnega oddajanja stanovanj; občine morajo do 31. oktobra 2026 določiti lastno omejitev (30–270 dni letno) ali velja privzetih 60 dni za leti 2027 in 2028.</w:t>
      </w:r>
    </w:p>
    <w:p>
      <w:pPr>
        <w:pStyle w:val="ListParagraph"/>
        <w:numPr>
          <w:ilvl w:val="0"/>
          <w:numId w:val="1"/>
        </w:numPr>
        <w:spacing w:after="80" w:line="276"/>
      </w:pPr>
      <w:r>
        <w:rPr>
          <w:sz w:val="21"/>
          <w:szCs w:val="21"/>
        </w:rPr>
        <w:t xml:space="preserve">Nacionalno se bo delež prebivalcev 65+ po projekcijah povečal s približno 22 % (2025) na okoli 24 % do 2030 in proti tretjini prebivalstva do sredine stoletja; indeks staranja naj bi na ravni Slovenije presegel 200 že okoli leta 2033.</w:t>
      </w:r>
    </w:p>
    <w:p>
      <w:pPr>
        <w:pStyle w:val="ListParagraph"/>
        <w:numPr>
          <w:ilvl w:val="0"/>
          <w:numId w:val="1"/>
        </w:numPr>
        <w:spacing w:after="80" w:line="276"/>
      </w:pPr>
      <w:r>
        <w:rPr>
          <w:sz w:val="21"/>
          <w:szCs w:val="21"/>
        </w:rPr>
        <w:t xml:space="preserve">Staranje ni samo strošek. Slovenska Istra ima kombinacijo dejavnikov (morje, zmerna klima, zdravstvena infrastruktura, turizem, Univerza na Primorskem), ki jo lahko naredijo eno vodilnih slovenskih območij srebrne in longevity ekonomije — to je raziskovalna hipoteza, ki jo je treba dokazati, ne že dokazano dejstvo.</w:t>
      </w:r>
    </w:p>
    <w:p>
      <w:pPr>
        <w:pStyle w:val="Heading2"/>
        <w:spacing w:after="140" w:before="320"/>
      </w:pPr>
      <w:r>
        <w:rPr>
          <w:b/>
          <w:bCs/>
          <w:color w:val="146C74"/>
          <w:sz w:val="25"/>
          <w:szCs w:val="25"/>
        </w:rPr>
        <w:t xml:space="preserve">Kaj dokument naredi in česa ne</w:t>
      </w:r>
    </w:p>
    <w:p>
      <w:pPr>
        <w:spacing w:after="140" w:line="288"/>
      </w:pPr>
      <w:r>
        <w:rPr>
          <w:sz w:val="21"/>
          <w:szCs w:val="21"/>
        </w:rPr>
        <w:t xml:space="preserve">Dokument združuje javno dostopne uradne podatke (SURS, NIJZ, Eurostat, OECD, ARSO, gradiva občin in ministrstev) v enoten pregled po stebrih demografske odpornosti. Ne gre za uradno projekcijo in ne nadomešča strokovnih demografskih študij, ki jih naročajo občine ali država (npr. posodobitev demografske študije občine Piran, ki jo za leto 2026 napoveduje Urbanistični inštitut RS). Kjer podatka na ravni posamezne občine ni — kar velja zlasti za stopnjo rodnosti, migracijsko anatomijo in dejansko (za razliko od registriranega) prebivalstvo — to izrecno navajamo kot vrzel, ki jo mora zapolniti nadaljnja raziskava IDP.</w:t>
      </w:r>
    </w:p>
    <w:p>
      <w:r>
        <w:br w:type="page"/>
      </w:r>
    </w:p>
    <w:p>
      <w:pPr>
        <w:pStyle w:val="Heading1"/>
        <w:pBdr>
          <w:bottom w:val="single" w:color="0F3D3E" w:sz="8" w:space="4"/>
        </w:pBdr>
        <w:spacing w:after="200" w:before="480"/>
      </w:pPr>
      <w:r>
        <w:rPr>
          <w:b/>
          <w:bCs/>
          <w:color w:val="0F3D3E"/>
          <w:sz w:val="30"/>
          <w:szCs w:val="30"/>
        </w:rPr>
        <w:t xml:space="preserve">2. Demografska slika</w:t>
      </w:r>
    </w:p>
    <w:p>
      <w:pPr>
        <w:spacing w:after="140" w:line="288"/>
      </w:pPr>
      <w:r>
        <w:rPr>
          <w:sz w:val="21"/>
          <w:szCs w:val="21"/>
        </w:rPr>
        <w:t xml:space="preserve">Podatki v tem poglavju se, razen kjer je izrecno navedeno drugače, nanašajo na leto 2024 — zadnje leto, za katero SURS objavlja polni nabor občinskih demografskih kazalnikov na dan pregleda (22. avgust 2026).</w:t>
      </w:r>
    </w:p>
    <w:p>
      <w:pPr>
        <w:pStyle w:val="Heading2"/>
        <w:spacing w:after="140" w:before="320"/>
      </w:pPr>
      <w:r>
        <w:rPr>
          <w:b/>
          <w:bCs/>
          <w:color w:val="146C74"/>
          <w:sz w:val="25"/>
          <w:szCs w:val="25"/>
        </w:rPr>
        <w:t xml:space="preserve">2.1 Štiri občine, štiri različne demografske zgodbe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300"/>
        <w:gridCol w:w="1400"/>
        <w:gridCol w:w="1600"/>
        <w:gridCol w:w="2100"/>
        <w:gridCol w:w="1500"/>
        <w:gridCol w:w="1600"/>
      </w:tblGrid>
      <w:tr>
        <w:trPr>
          <w:tblHeader/>
        </w:trPr>
        <w:tc>
          <w:tcPr>
            <w:tcW w:type="dxa" w:w="1300"/>
            <w:shd w:fill="0F3D3E" w:val="clear"/>
            <w:tcMar>
              <w:top w:type="dxa" w:w="60"/>
              <w:left w:type="dxa" w:w="100"/>
              <w:bottom w:type="dxa" w:w="60"/>
              <w:right w:type="dxa" w:w="100"/>
            </w:tcMar>
            <w:vAlign w:val="center"/>
          </w:tcPr>
          <w:p>
            <w:pPr>
              <w:jc w:val="left"/>
            </w:pPr>
            <w:r>
              <w:rPr>
                <w:b/>
                <w:bCs/>
                <w:color w:val="FFFFFF"/>
                <w:sz w:val="19"/>
                <w:szCs w:val="19"/>
              </w:rPr>
              <w:t xml:space="preserve">Občina</w:t>
            </w:r>
          </w:p>
        </w:tc>
        <w:tc>
          <w:tcPr>
            <w:tcW w:type="dxa" w:w="1400"/>
            <w:shd w:fill="0F3D3E" w:val="clear"/>
            <w:tcMar>
              <w:top w:type="dxa" w:w="60"/>
              <w:left w:type="dxa" w:w="100"/>
              <w:bottom w:type="dxa" w:w="60"/>
              <w:right w:type="dxa" w:w="100"/>
            </w:tcMar>
            <w:vAlign w:val="center"/>
          </w:tcPr>
          <w:p>
            <w:pPr>
              <w:jc w:val="left"/>
            </w:pPr>
            <w:r>
              <w:rPr>
                <w:b/>
                <w:bCs/>
                <w:color w:val="FFFFFF"/>
                <w:sz w:val="19"/>
                <w:szCs w:val="19"/>
              </w:rPr>
              <w:t xml:space="preserve">Prebivalci (2024)</w:t>
            </w:r>
          </w:p>
        </w:tc>
        <w:tc>
          <w:tcPr>
            <w:tcW w:type="dxa" w:w="1600"/>
            <w:shd w:fill="0F3D3E" w:val="clear"/>
            <w:tcMar>
              <w:top w:type="dxa" w:w="60"/>
              <w:left w:type="dxa" w:w="100"/>
              <w:bottom w:type="dxa" w:w="60"/>
              <w:right w:type="dxa" w:w="100"/>
            </w:tcMar>
            <w:vAlign w:val="center"/>
          </w:tcPr>
          <w:p>
            <w:pPr>
              <w:jc w:val="left"/>
            </w:pPr>
            <w:r>
              <w:rPr>
                <w:b/>
                <w:bCs/>
                <w:color w:val="FFFFFF"/>
                <w:sz w:val="19"/>
                <w:szCs w:val="19"/>
              </w:rPr>
              <w:t xml:space="preserve">Naravni prirast /1000</w:t>
            </w:r>
          </w:p>
        </w:tc>
        <w:tc>
          <w:tcPr>
            <w:tcW w:type="dxa" w:w="2100"/>
            <w:shd w:fill="0F3D3E" w:val="clear"/>
            <w:tcMar>
              <w:top w:type="dxa" w:w="60"/>
              <w:left w:type="dxa" w:w="100"/>
              <w:bottom w:type="dxa" w:w="60"/>
              <w:right w:type="dxa" w:w="100"/>
            </w:tcMar>
            <w:vAlign w:val="center"/>
          </w:tcPr>
          <w:p>
            <w:pPr>
              <w:jc w:val="left"/>
            </w:pPr>
            <w:r>
              <w:rPr>
                <w:b/>
                <w:bCs/>
                <w:color w:val="FFFFFF"/>
                <w:sz w:val="19"/>
                <w:szCs w:val="19"/>
              </w:rPr>
              <w:t xml:space="preserve">Selitveni prirast /1000</w:t>
            </w:r>
          </w:p>
        </w:tc>
        <w:tc>
          <w:tcPr>
            <w:tcW w:type="dxa" w:w="1500"/>
            <w:shd w:fill="0F3D3E" w:val="clear"/>
            <w:tcMar>
              <w:top w:type="dxa" w:w="60"/>
              <w:left w:type="dxa" w:w="100"/>
              <w:bottom w:type="dxa" w:w="60"/>
              <w:right w:type="dxa" w:w="100"/>
            </w:tcMar>
            <w:vAlign w:val="center"/>
          </w:tcPr>
          <w:p>
            <w:pPr>
              <w:jc w:val="left"/>
            </w:pPr>
            <w:r>
              <w:rPr>
                <w:b/>
                <w:bCs/>
                <w:color w:val="FFFFFF"/>
                <w:sz w:val="19"/>
                <w:szCs w:val="19"/>
              </w:rPr>
              <w:t xml:space="preserve">Povprečna starost</w:t>
            </w:r>
          </w:p>
        </w:tc>
        <w:tc>
          <w:tcPr>
            <w:tcW w:type="dxa" w:w="1600"/>
            <w:shd w:fill="0F3D3E" w:val="clear"/>
            <w:tcMar>
              <w:top w:type="dxa" w:w="60"/>
              <w:left w:type="dxa" w:w="100"/>
              <w:bottom w:type="dxa" w:w="60"/>
              <w:right w:type="dxa" w:w="100"/>
            </w:tcMar>
            <w:vAlign w:val="center"/>
          </w:tcPr>
          <w:p>
            <w:pPr>
              <w:jc w:val="left"/>
            </w:pPr>
            <w:r>
              <w:rPr>
                <w:b/>
                <w:bCs/>
                <w:color w:val="FFFFFF"/>
                <w:sz w:val="19"/>
                <w:szCs w:val="19"/>
              </w:rPr>
              <w:t xml:space="preserve">Indeks staranja</w:t>
            </w:r>
          </w:p>
        </w:tc>
      </w:tr>
      <w:tr>
        <w:tc>
          <w:tcPr>
            <w:tcW w:type="dxa" w:w="1300"/>
            <w:shd w:fill="FFFFFF" w:val="clear"/>
            <w:tcMar>
              <w:top w:type="dxa" w:w="60"/>
              <w:left w:type="dxa" w:w="100"/>
              <w:bottom w:type="dxa" w:w="60"/>
              <w:right w:type="dxa" w:w="100"/>
            </w:tcMar>
            <w:vAlign w:val="center"/>
          </w:tcPr>
          <w:p>
            <w:r>
              <w:t>Koper</w:t>
            </w:r>
          </w:p>
        </w:tc>
        <w:tc>
          <w:tcPr>
            <w:tcW w:type="dxa" w:w="1400"/>
            <w:shd w:fill="FFFFFF" w:val="clear"/>
            <w:tcMar>
              <w:top w:type="dxa" w:w="60"/>
              <w:left w:type="dxa" w:w="100"/>
              <w:bottom w:type="dxa" w:w="60"/>
              <w:right w:type="dxa" w:w="100"/>
            </w:tcMar>
            <w:vAlign w:val="center"/>
          </w:tcPr>
          <w:p>
            <w:r>
              <w:t>54.220</w:t>
            </w:r>
          </w:p>
        </w:tc>
        <w:tc>
          <w:tcPr>
            <w:tcW w:type="dxa" w:w="1600"/>
            <w:shd w:fill="FFFFFF" w:val="clear"/>
            <w:tcMar>
              <w:top w:type="dxa" w:w="60"/>
              <w:left w:type="dxa" w:w="100"/>
              <w:bottom w:type="dxa" w:w="60"/>
              <w:right w:type="dxa" w:w="100"/>
            </w:tcMar>
            <w:vAlign w:val="center"/>
          </w:tcPr>
          <w:p>
            <w:r>
              <w:t>−3,2</w:t>
            </w:r>
          </w:p>
        </w:tc>
        <w:tc>
          <w:tcPr>
            <w:tcW w:type="dxa" w:w="2100"/>
            <w:shd w:fill="FFFFFF" w:val="clear"/>
            <w:tcMar>
              <w:top w:type="dxa" w:w="60"/>
              <w:left w:type="dxa" w:w="100"/>
              <w:bottom w:type="dxa" w:w="60"/>
              <w:right w:type="dxa" w:w="100"/>
            </w:tcMar>
            <w:vAlign w:val="center"/>
          </w:tcPr>
          <w:p>
            <w:r>
              <w:t>+6,6</w:t>
            </w:r>
          </w:p>
        </w:tc>
        <w:tc>
          <w:tcPr>
            <w:tcW w:type="dxa" w:w="1500"/>
            <w:shd w:fill="FFFFFF" w:val="clear"/>
            <w:tcMar>
              <w:top w:type="dxa" w:w="60"/>
              <w:left w:type="dxa" w:w="100"/>
              <w:bottom w:type="dxa" w:w="60"/>
              <w:right w:type="dxa" w:w="100"/>
            </w:tcMar>
            <w:vAlign w:val="center"/>
          </w:tcPr>
          <w:p>
            <w:r>
              <w:t>44,8</w:t>
            </w:r>
          </w:p>
        </w:tc>
        <w:tc>
          <w:tcPr>
            <w:tcW w:type="dxa" w:w="1600"/>
            <w:shd w:fill="FFFFFF" w:val="clear"/>
            <w:tcMar>
              <w:top w:type="dxa" w:w="60"/>
              <w:left w:type="dxa" w:w="100"/>
              <w:bottom w:type="dxa" w:w="60"/>
              <w:right w:type="dxa" w:w="100"/>
            </w:tcMar>
            <w:vAlign w:val="center"/>
          </w:tcPr>
          <w:p>
            <w:r>
              <w:t>161,7</w:t>
            </w:r>
          </w:p>
        </w:tc>
      </w:tr>
      <w:tr>
        <w:tc>
          <w:tcPr>
            <w:tcW w:type="dxa" w:w="1300"/>
            <w:shd w:fill="EFF4F3" w:val="clear"/>
            <w:tcMar>
              <w:top w:type="dxa" w:w="60"/>
              <w:left w:type="dxa" w:w="100"/>
              <w:bottom w:type="dxa" w:w="60"/>
              <w:right w:type="dxa" w:w="100"/>
            </w:tcMar>
            <w:vAlign w:val="center"/>
          </w:tcPr>
          <w:p>
            <w:r>
              <w:t>Izola</w:t>
            </w:r>
          </w:p>
        </w:tc>
        <w:tc>
          <w:tcPr>
            <w:tcW w:type="dxa" w:w="1400"/>
            <w:shd w:fill="EFF4F3" w:val="clear"/>
            <w:tcMar>
              <w:top w:type="dxa" w:w="60"/>
              <w:left w:type="dxa" w:w="100"/>
              <w:bottom w:type="dxa" w:w="60"/>
              <w:right w:type="dxa" w:w="100"/>
            </w:tcMar>
            <w:vAlign w:val="center"/>
          </w:tcPr>
          <w:p>
            <w:r>
              <w:t>16.478</w:t>
            </w:r>
          </w:p>
        </w:tc>
        <w:tc>
          <w:tcPr>
            <w:tcW w:type="dxa" w:w="1600"/>
            <w:shd w:fill="EFF4F3" w:val="clear"/>
            <w:tcMar>
              <w:top w:type="dxa" w:w="60"/>
              <w:left w:type="dxa" w:w="100"/>
              <w:bottom w:type="dxa" w:w="60"/>
              <w:right w:type="dxa" w:w="100"/>
            </w:tcMar>
            <w:vAlign w:val="center"/>
          </w:tcPr>
          <w:p>
            <w:r>
              <w:t>−6,2</w:t>
            </w:r>
          </w:p>
        </w:tc>
        <w:tc>
          <w:tcPr>
            <w:tcW w:type="dxa" w:w="2100"/>
            <w:shd w:fill="EFF4F3" w:val="clear"/>
            <w:tcMar>
              <w:top w:type="dxa" w:w="60"/>
              <w:left w:type="dxa" w:w="100"/>
              <w:bottom w:type="dxa" w:w="60"/>
              <w:right w:type="dxa" w:w="100"/>
            </w:tcMar>
            <w:vAlign w:val="center"/>
          </w:tcPr>
          <w:p>
            <w:r>
              <w:t>+7,7</w:t>
            </w:r>
          </w:p>
        </w:tc>
        <w:tc>
          <w:tcPr>
            <w:tcW w:type="dxa" w:w="1500"/>
            <w:shd w:fill="EFF4F3" w:val="clear"/>
            <w:tcMar>
              <w:top w:type="dxa" w:w="60"/>
              <w:left w:type="dxa" w:w="100"/>
              <w:bottom w:type="dxa" w:w="60"/>
              <w:right w:type="dxa" w:w="100"/>
            </w:tcMar>
            <w:vAlign w:val="center"/>
          </w:tcPr>
          <w:p>
            <w:r>
              <w:t>46,6</w:t>
            </w:r>
          </w:p>
        </w:tc>
        <w:tc>
          <w:tcPr>
            <w:tcW w:type="dxa" w:w="1600"/>
            <w:shd w:fill="EFF4F3" w:val="clear"/>
            <w:tcMar>
              <w:top w:type="dxa" w:w="60"/>
              <w:left w:type="dxa" w:w="100"/>
              <w:bottom w:type="dxa" w:w="60"/>
              <w:right w:type="dxa" w:w="100"/>
            </w:tcMar>
            <w:vAlign w:val="center"/>
          </w:tcPr>
          <w:p>
            <w:r>
              <w:t>200,4</w:t>
            </w:r>
          </w:p>
        </w:tc>
      </w:tr>
      <w:tr>
        <w:tc>
          <w:tcPr>
            <w:tcW w:type="dxa" w:w="1300"/>
            <w:shd w:fill="FFFFFF" w:val="clear"/>
            <w:tcMar>
              <w:top w:type="dxa" w:w="60"/>
              <w:left w:type="dxa" w:w="100"/>
              <w:bottom w:type="dxa" w:w="60"/>
              <w:right w:type="dxa" w:w="100"/>
            </w:tcMar>
            <w:vAlign w:val="center"/>
          </w:tcPr>
          <w:p>
            <w:r>
              <w:t>Piran</w:t>
            </w:r>
          </w:p>
        </w:tc>
        <w:tc>
          <w:tcPr>
            <w:tcW w:type="dxa" w:w="1400"/>
            <w:shd w:fill="FFFFFF" w:val="clear"/>
            <w:tcMar>
              <w:top w:type="dxa" w:w="60"/>
              <w:left w:type="dxa" w:w="100"/>
              <w:bottom w:type="dxa" w:w="60"/>
              <w:right w:type="dxa" w:w="100"/>
            </w:tcMar>
            <w:vAlign w:val="center"/>
          </w:tcPr>
          <w:p>
            <w:r>
              <w:t>18.091</w:t>
            </w:r>
          </w:p>
        </w:tc>
        <w:tc>
          <w:tcPr>
            <w:tcW w:type="dxa" w:w="1600"/>
            <w:shd w:fill="FFFFFF" w:val="clear"/>
            <w:tcMar>
              <w:top w:type="dxa" w:w="60"/>
              <w:left w:type="dxa" w:w="100"/>
              <w:bottom w:type="dxa" w:w="60"/>
              <w:right w:type="dxa" w:w="100"/>
            </w:tcMar>
            <w:vAlign w:val="center"/>
          </w:tcPr>
          <w:p>
            <w:r>
              <w:t>−4,8</w:t>
            </w:r>
          </w:p>
        </w:tc>
        <w:tc>
          <w:tcPr>
            <w:tcW w:type="dxa" w:w="2100"/>
            <w:shd w:fill="FFFFFF" w:val="clear"/>
            <w:tcMar>
              <w:top w:type="dxa" w:w="60"/>
              <w:left w:type="dxa" w:w="100"/>
              <w:bottom w:type="dxa" w:w="60"/>
              <w:right w:type="dxa" w:w="100"/>
            </w:tcMar>
            <w:vAlign w:val="center"/>
          </w:tcPr>
          <w:p>
            <w:r>
              <w:t>+4,4</w:t>
            </w:r>
          </w:p>
        </w:tc>
        <w:tc>
          <w:tcPr>
            <w:tcW w:type="dxa" w:w="1500"/>
            <w:shd w:fill="FFFFFF" w:val="clear"/>
            <w:tcMar>
              <w:top w:type="dxa" w:w="60"/>
              <w:left w:type="dxa" w:w="100"/>
              <w:bottom w:type="dxa" w:w="60"/>
              <w:right w:type="dxa" w:w="100"/>
            </w:tcMar>
            <w:vAlign w:val="center"/>
          </w:tcPr>
          <w:p>
            <w:r>
              <w:t>47,4</w:t>
            </w:r>
          </w:p>
        </w:tc>
        <w:tc>
          <w:tcPr>
            <w:tcW w:type="dxa" w:w="1600"/>
            <w:shd w:fill="FFFFFF" w:val="clear"/>
            <w:tcMar>
              <w:top w:type="dxa" w:w="60"/>
              <w:left w:type="dxa" w:w="100"/>
              <w:bottom w:type="dxa" w:w="60"/>
              <w:right w:type="dxa" w:w="100"/>
            </w:tcMar>
            <w:vAlign w:val="center"/>
          </w:tcPr>
          <w:p>
            <w:r>
              <w:t>228,2</w:t>
            </w:r>
          </w:p>
        </w:tc>
      </w:tr>
      <w:tr>
        <w:tc>
          <w:tcPr>
            <w:tcW w:type="dxa" w:w="1300"/>
            <w:shd w:fill="EFF4F3" w:val="clear"/>
            <w:tcMar>
              <w:top w:type="dxa" w:w="60"/>
              <w:left w:type="dxa" w:w="100"/>
              <w:bottom w:type="dxa" w:w="60"/>
              <w:right w:type="dxa" w:w="100"/>
            </w:tcMar>
            <w:vAlign w:val="center"/>
          </w:tcPr>
          <w:p>
            <w:r>
              <w:t>Ankaran</w:t>
            </w:r>
          </w:p>
        </w:tc>
        <w:tc>
          <w:tcPr>
            <w:tcW w:type="dxa" w:w="1400"/>
            <w:shd w:fill="EFF4F3" w:val="clear"/>
            <w:tcMar>
              <w:top w:type="dxa" w:w="60"/>
              <w:left w:type="dxa" w:w="100"/>
              <w:bottom w:type="dxa" w:w="60"/>
              <w:right w:type="dxa" w:w="100"/>
            </w:tcMar>
            <w:vAlign w:val="center"/>
          </w:tcPr>
          <w:p>
            <w:r>
              <w:t>3.417</w:t>
            </w:r>
          </w:p>
        </w:tc>
        <w:tc>
          <w:tcPr>
            <w:tcW w:type="dxa" w:w="1600"/>
            <w:shd w:fill="EFF4F3" w:val="clear"/>
            <w:tcMar>
              <w:top w:type="dxa" w:w="60"/>
              <w:left w:type="dxa" w:w="100"/>
              <w:bottom w:type="dxa" w:w="60"/>
              <w:right w:type="dxa" w:w="100"/>
            </w:tcMar>
            <w:vAlign w:val="center"/>
          </w:tcPr>
          <w:p>
            <w:r>
              <w:t>−2,0</w:t>
            </w:r>
          </w:p>
        </w:tc>
        <w:tc>
          <w:tcPr>
            <w:tcW w:type="dxa" w:w="2100"/>
            <w:shd w:fill="EFF4F3" w:val="clear"/>
            <w:tcMar>
              <w:top w:type="dxa" w:w="60"/>
              <w:left w:type="dxa" w:w="100"/>
              <w:bottom w:type="dxa" w:w="60"/>
              <w:right w:type="dxa" w:w="100"/>
            </w:tcMar>
            <w:vAlign w:val="center"/>
          </w:tcPr>
          <w:p>
            <w:r>
              <w:t>+37,8</w:t>
            </w:r>
          </w:p>
        </w:tc>
        <w:tc>
          <w:tcPr>
            <w:tcW w:type="dxa" w:w="1500"/>
            <w:shd w:fill="EFF4F3" w:val="clear"/>
            <w:tcMar>
              <w:top w:type="dxa" w:w="60"/>
              <w:left w:type="dxa" w:w="100"/>
              <w:bottom w:type="dxa" w:w="60"/>
              <w:right w:type="dxa" w:w="100"/>
            </w:tcMar>
            <w:vAlign w:val="center"/>
          </w:tcPr>
          <w:p>
            <w:r>
              <w:t>47,0</w:t>
            </w:r>
          </w:p>
        </w:tc>
        <w:tc>
          <w:tcPr>
            <w:tcW w:type="dxa" w:w="1600"/>
            <w:shd w:fill="EFF4F3" w:val="clear"/>
            <w:tcMar>
              <w:top w:type="dxa" w:w="60"/>
              <w:left w:type="dxa" w:w="100"/>
              <w:bottom w:type="dxa" w:w="60"/>
              <w:right w:type="dxa" w:w="100"/>
            </w:tcMar>
            <w:vAlign w:val="center"/>
          </w:tcPr>
          <w:p>
            <w:r>
              <w:t>209,7</w:t>
            </w:r>
          </w:p>
        </w:tc>
      </w:tr>
    </w:tbl>
    <w:p>
      <w:pPr>
        <w:spacing w:after="220"/>
      </w:pPr>
      <w:r>
        <w:rPr>
          <w:i/>
          <w:iCs/>
          <w:color w:val="595959"/>
          <w:sz w:val="18"/>
          <w:szCs w:val="18"/>
        </w:rPr>
        <w:t>Vir: SURS SiStat 05C4004S (2024H2), 05C4008S (2024H2), 05I1002S (2024) in 05I2002S (2024); neposredni izračuni IDP, preverjeno 27. avgusta 2026.</w:t>
      </w:r>
    </w:p>
    <w:p>
      <w:pPr>
        <w:spacing w:after="140" w:line="288"/>
      </w:pPr>
      <w:r>
        <w:rPr>
          <w:sz w:val="21"/>
          <w:szCs w:val="21"/>
        </w:rPr>
        <w:t xml:space="preserve">Koper je demografsko najmlajši in najstabilnejši pol Slovenske Istre: kljub negativnemu naravnemu prirastu ima dovolj močan pozitiven selitveni prirast, da prebivalstvo raste, zato je smiselno obravnavati Koper kot regionalni motor demografske odpornosti.</w:t>
      </w:r>
    </w:p>
    <w:p>
      <w:pPr>
        <w:spacing w:after="140" w:line="288"/>
      </w:pPr>
      <w:r>
        <w:rPr>
          <w:sz w:val="21"/>
          <w:szCs w:val="21"/>
        </w:rPr>
        <w:t xml:space="preserve">Izola ima med štirimi občinami najmočnejši naravni upad (–6,2 na 1.000 prebivalcev); migracije so ga leta 2024 še nadomestile. Povprečna starost 46,6 leta in indeks staranja okoli 200 pomenita približno 200 prebivalcev, starih 65+, na 100 otrok, mlajših od 15 let.</w:t>
      </w:r>
    </w:p>
    <w:p>
      <w:pPr>
        <w:spacing w:after="140" w:line="288"/>
      </w:pPr>
      <w:r>
        <w:rPr>
          <w:sz w:val="21"/>
          <w:szCs w:val="21"/>
        </w:rPr>
        <w:t xml:space="preserve">Piran je trenutno najizrazitejši opozorilni primer: povprečna starost 47,4 leta, indeks staranja 228,2, naravni prirast –4,8, migracije pa leta 2024 niso več v celoti nadomestile naravne izgube. Piran ima poleg tega poseben metodološki problem razlikovanja med občino, mestom, registriranim prebivalstvom in dejansko celoletno prisotnim prebivalstvom (glej poglavje 2.3).</w:t>
      </w:r>
    </w:p>
    <w:p>
      <w:pPr>
        <w:spacing w:after="140" w:line="288"/>
      </w:pPr>
      <w:r>
        <w:rPr>
          <w:sz w:val="21"/>
          <w:szCs w:val="21"/>
        </w:rPr>
        <w:t xml:space="preserve">Ankaran je demografsko skoraj paradoksalen: visoka povprečna starost in indeks staranja okoli 210, a leta 2024 izjemno velik selitveni prirast (+37,8 na 1.000 prebivalcev). Ker ima občina le okoli 3.400 prebivalcev, lahko relativne kazalnike močno spremeni že nekaj deset ali sto selitev.</w:t>
      </w:r>
    </w:p>
    <w:p>
      <w:pPr>
        <w:spacing w:after="120" w:line="288"/>
      </w:pPr>
      <w:r>
        <w:rPr>
          <w:b/>
          <w:bCs/>
          <w:color w:val="9A6B00"/>
          <w:sz w:val="21"/>
          <w:szCs w:val="21"/>
        </w:rPr>
        <w:t xml:space="preserve">[HIPOTEZA] </w:t>
      </w:r>
      <w:r>
        <w:rPr>
          <w:sz w:val="21"/>
          <w:szCs w:val="21"/>
        </w:rPr>
        <w:t xml:space="preserve">Obala lahko številčno raste, hkrati pa izgublja del domačih mladih, ki jih statistično nadomešča drugačna migracijska populacija (druga starost, drugo poreklo, drug razlog bivanja). To je hipoteza, ne ugotovljeno dejstvo, in zahteva migracijsko anatomijo po starosti, spolu, državljanstvu in prejšnjem prebivališču — podatka o tem na ravni posameznih štirih občin trenutno nimamo.</w:t>
      </w:r>
    </w:p>
    <w:p>
      <w:pPr>
        <w:pStyle w:val="Heading2"/>
        <w:spacing w:after="140" w:before="320"/>
      </w:pPr>
      <w:r>
        <w:rPr>
          <w:b/>
          <w:bCs/>
          <w:color w:val="146C74"/>
          <w:sz w:val="25"/>
          <w:szCs w:val="25"/>
        </w:rPr>
        <w:t xml:space="preserve">2.2 Umrljivost: visoko število smrti ne pomeni nujno slabšega zdravja</w:t>
      </w:r>
    </w:p>
    <w:p>
      <w:pPr>
        <w:spacing w:after="140" w:line="288"/>
      </w:pPr>
      <w:r>
        <w:rPr>
          <w:sz w:val="21"/>
          <w:szCs w:val="21"/>
        </w:rPr>
        <w:t xml:space="preserve">Surova stopnja umrljivosti na 1.000 prebivalcev je bila leta 2024: Izola 12,0, Piran 10,7, Koper 9,7, Ankaran 7,3. Te razlike odražajo predvsem razlike v starostni strukturi, ne nujno razlike v kakovosti zdravstvene oskrbe.</w:t>
      </w:r>
    </w:p>
    <w:p>
      <w:pPr>
        <w:spacing w:after="120" w:line="288"/>
      </w:pPr>
      <w:r>
        <w:rPr>
          <w:b/>
          <w:bCs/>
          <w:color w:val="1553A0"/>
          <w:sz w:val="21"/>
          <w:szCs w:val="21"/>
        </w:rPr>
        <w:t xml:space="preserve">[INTERPRETACIJA] </w:t>
      </w:r>
      <w:r>
        <w:rPr>
          <w:sz w:val="21"/>
          <w:szCs w:val="21"/>
        </w:rPr>
        <w:t xml:space="preserve">Starejša populacija bo že zaradi starostne strukture imela več smrti; iz surove stopnje umrljivosti torej ne smemo sklepati, da ima npr. Izola slabše zdravstvene razmere od Kopra. NIJZ zato za primerjave uporablja starostno standardizirano umrljivost.</w:t>
      </w:r>
    </w:p>
    <w:p>
      <w:pPr>
        <w:spacing w:after="140" w:line="288"/>
      </w:pPr>
      <w:r>
        <w:rPr>
          <w:sz w:val="21"/>
          <w:szCs w:val="21"/>
        </w:rPr>
        <w:t xml:space="preserve">Po objavi NIJZ (2025) je bila starostno standardizirana splošna umrljivost v Kopru okoli 845 na 100.000 prebivalcev, slovensko povprečje pa okoli 922 — kar kaže na relativno ugoden položaj. V celotni Obalno-kraški regiji je bil leta 2024 delež umrlih pred 65. letom starosti samo 12 %, drugi najnižji med slovenskimi regijami.</w:t>
      </w:r>
    </w:p>
    <w:p>
      <w:pPr>
        <w:spacing w:after="220"/>
      </w:pPr>
      <w:r>
        <w:rPr>
          <w:i/>
          <w:iCs/>
          <w:color w:val="595959"/>
          <w:sz w:val="18"/>
          <w:szCs w:val="18"/>
        </w:rPr>
        <w:t xml:space="preserve">Vir: NIJZ, obcine.nijz.si (2025); SURS (2024)</w:t>
      </w:r>
    </w:p>
    <w:p>
      <w:pPr>
        <w:pStyle w:val="Heading2"/>
        <w:spacing w:after="140" w:before="320"/>
      </w:pPr>
      <w:r>
        <w:rPr>
          <w:b/>
          <w:bCs/>
          <w:color w:val="146C74"/>
          <w:sz w:val="25"/>
          <w:szCs w:val="25"/>
        </w:rPr>
        <w:t xml:space="preserve">2.3 Registrirano prebivalstvo proti dejansko prisotnemu prebivalstvu</w:t>
      </w:r>
    </w:p>
    <w:p>
      <w:pPr>
        <w:spacing w:after="140" w:line="288"/>
      </w:pPr>
      <w:r>
        <w:rPr>
          <w:sz w:val="21"/>
          <w:szCs w:val="21"/>
        </w:rPr>
        <w:t xml:space="preserve">Marca 2026 je bil v Reviji za geografijo objavljen članek Ivice Pletikosića o demografskem razvoju Pirana, ki se opira na neformalni popis iz leta 2020. Neformalni popis je zajel 1.234 objektov s hišno številko v katastrski občini Piran in ocenil razliko med uradno evidentiranim in dejansko prisotnim prebivalstvom na približno 1.200 oseb, torej skoraj tretjino.</w:t>
      </w:r>
    </w:p>
    <w:p>
      <w:pPr>
        <w:spacing w:after="120" w:line="288"/>
      </w:pPr>
      <w:r>
        <w:rPr>
          <w:b/>
          <w:bCs/>
          <w:color w:val="9A6B00"/>
          <w:sz w:val="21"/>
          <w:szCs w:val="21"/>
        </w:rPr>
        <w:t xml:space="preserve">[HIPOTEZA] </w:t>
      </w:r>
      <w:r>
        <w:rPr>
          <w:sz w:val="21"/>
          <w:szCs w:val="21"/>
        </w:rPr>
        <w:t xml:space="preserve">Registrirano prebivalstvo v turističnih jedrih Slovenske Istre lahko bistveno odstopa od celoletnega dejanskega prebivalstva zaradi rasti sekundarnih prebivališč in kratkotrajnega turističnega oddajanja.</w:t>
      </w:r>
    </w:p>
    <w:p>
      <w:pPr>
        <w:spacing w:after="140" w:line="288"/>
      </w:pPr>
      <w:r>
        <w:rPr>
          <w:sz w:val="21"/>
          <w:szCs w:val="21"/>
        </w:rPr>
        <w:t xml:space="preserve">Pomembna omejitev: to ni uradni popis SURS. Metodologijo (med drugim fizično prisotnost in potrjevanje s strani sosedov) je prekinil COVID-19, zato rezultatov ne smemo neposredno enačiti z uradno statistiko. Ideja je za IDP kljub temu pomembna: predlagamo, da IDP metodologijo ponovi za vse štiri občine, izboljšano s kombinacijo registrskih podatkov, anonimnega anketiranja, podatkov o stanovanjih, terenskega preverjanja in agregiranih podatkov porabe infrastrukture.</w:t>
      </w:r>
    </w:p>
    <w:p>
      <w:pPr>
        <w:spacing w:after="220"/>
      </w:pPr>
      <w:r>
        <w:rPr>
          <w:i/>
          <w:iCs/>
          <w:color w:val="595959"/>
          <w:sz w:val="18"/>
          <w:szCs w:val="18"/>
        </w:rPr>
        <w:t xml:space="preserve">Vir: I. Pletikosić, Revija za geografijo, marec 2026</w:t>
      </w:r>
    </w:p>
    <w:p>
      <w:pPr>
        <w:spacing w:after="120" w:line="288"/>
      </w:pPr>
      <w:r>
        <w:rPr>
          <w:b/>
          <w:bCs/>
          <w:color w:val="7A2E8A"/>
          <w:sz w:val="21"/>
          <w:szCs w:val="21"/>
        </w:rPr>
        <w:t xml:space="preserve">[PREDLOG] </w:t>
      </w:r>
      <w:r>
        <w:rPr>
          <w:sz w:val="21"/>
          <w:szCs w:val="21"/>
        </w:rPr>
        <w:t xml:space="preserve">IDP naj skupaj s štirimi občinami zasnuje raziskavo 'Kdo dejansko živi v Slovenski Istri?' po zgledu piranske raziskave, brez namena konkurirati uradnemu popisu SURS.</w:t>
      </w:r>
    </w:p>
    <w:p>
      <w:pPr>
        <w:pStyle w:val="Heading2"/>
        <w:spacing w:after="140" w:before="320"/>
      </w:pPr>
      <w:r>
        <w:rPr>
          <w:b/>
          <w:bCs/>
          <w:color w:val="146C74"/>
          <w:sz w:val="25"/>
          <w:szCs w:val="25"/>
        </w:rPr>
        <w:t xml:space="preserve">2.4 Migracije kot glavni demografski motor</w:t>
      </w:r>
    </w:p>
    <w:p>
      <w:pPr>
        <w:spacing w:after="140" w:line="288"/>
      </w:pPr>
      <w:r>
        <w:rPr>
          <w:sz w:val="21"/>
          <w:szCs w:val="21"/>
        </w:rPr>
        <w:t xml:space="preserve">Obalno-kraška regija je imela leta 2024 selitveni prirast +7,1 na 1.000 prebivalcev in visok delež tujih državljanov. Že starejše medijsko poročanje je izpostavljalo kombinacijo negativnega naravnega prirasta, močnega pozitivnega selitvenega prirasta, visokega deleža tujih državljanov in nadpovprečno starega prebivalstva.</w:t>
      </w:r>
    </w:p>
    <w:p>
      <w:pPr>
        <w:spacing w:after="220"/>
      </w:pPr>
      <w:r>
        <w:rPr>
          <w:i/>
          <w:iCs/>
          <w:color w:val="595959"/>
          <w:sz w:val="18"/>
          <w:szCs w:val="18"/>
        </w:rPr>
        <w:t xml:space="preserve">Vir: SURS (2024); regionalobala.si</w:t>
      </w:r>
    </w:p>
    <w:p>
      <w:pPr>
        <w:spacing w:after="140" w:line="288"/>
      </w:pPr>
      <w:r>
        <w:rPr>
          <w:sz w:val="21"/>
          <w:szCs w:val="21"/>
        </w:rPr>
        <w:t xml:space="preserve">To še ne odgovori na najpomembnejše vprašanje: ne koliko ljudi se priseli, temveč kdo. Za vsak migracijski tok bi IDP potreboval starost, spol, državljanstvo oziroma državo rojstva, prejšnjo občino ali državo bivanja, ciljno občino, gospodinjski status in trajanje bivanja, ločeno za selitve znotraj Slovenije in selitve iz/v tujino. Tega podatka na ravni štirih občin trenutno nimamo.</w:t>
      </w:r>
    </w:p>
    <w:p>
      <w:pPr>
        <w:pStyle w:val="Heading2"/>
        <w:spacing w:after="140" w:before="320"/>
      </w:pPr>
      <w:r>
        <w:rPr>
          <w:b/>
          <w:bCs/>
          <w:color w:val="146C74"/>
          <w:sz w:val="25"/>
          <w:szCs w:val="25"/>
        </w:rPr>
        <w:t xml:space="preserve">2.5 Regijski socialno-ekonomski okvir</w:t>
      </w:r>
    </w:p>
    <w:p>
      <w:pPr>
        <w:spacing w:after="140" w:line="288"/>
      </w:pPr>
      <w:r>
        <w:rPr>
          <w:sz w:val="21"/>
          <w:szCs w:val="21"/>
        </w:rPr>
        <w:t>Obalno-kraška statistična regija (širši okvir osmih občin, ne le Slovenske Istre) je imela po podatkih SURS iz leta 2024 najvišjo stopnjo tveganja revščine med slovenskimi regijami: 19,5 % prebivalcev je živelo pod pragom tveganja revščine; stopnja tveganja socialne izključenosti je znašala približno 20 %. Obe vrednosti sta bili najvišji med statističnimi regijami, vendar sta zaradi vzorčne narave raziskovanja EU-SILC podvrženi statistični negotovosti. Povprečna starost regije je bila 45,7 leta, delež mladih do 15 let 14 % (pod slovenskim povprečjem), delež 65+ pa 23,1 % (1,8 odstotne točke nad povprečjem). Povprečna mesečna neto plača na zaposleno osebo je znašala 1.472,46 EUR (53,56 EUR pod državnim povprečjem), stopnja delovne aktivnosti pa 70,0 %, enako kot v Sloveniji.</w:t>
      </w:r>
    </w:p>
    <w:p>
      <w:pPr>
        <w:spacing w:after="120" w:line="288"/>
      </w:pPr>
      <w:r>
        <w:rPr>
          <w:b/>
          <w:bCs/>
          <w:color w:val="1553A0"/>
          <w:sz w:val="21"/>
          <w:szCs w:val="21"/>
        </w:rPr>
        <w:t xml:space="preserve">[INTERPRETACIJA] </w:t>
      </w:r>
      <w:r>
        <w:rPr>
          <w:sz w:val="21"/>
          <w:szCs w:val="21"/>
        </w:rPr>
        <w:t xml:space="preserve">Kombinacija visoke cene bivanja (turistični pritisk na stanovanja), nadpovprečnega tveganja revščine in podpovprečnih plač je za demografsko politiko pomembnejša od golega števila prebivalcev: mladim lahko otežuje osamosvojitev in oblikovanje družine prav v regiji, kjer so hkrati stanovanja med najdražjimi v Sloveniji.</w:t>
      </w:r>
    </w:p>
    <w:p>
      <w:pPr>
        <w:spacing w:after="220"/>
      </w:pPr>
      <w:r>
        <w:rPr>
          <w:i/>
          <w:iCs/>
          <w:color w:val="595959"/>
          <w:sz w:val="18"/>
          <w:szCs w:val="18"/>
        </w:rPr>
        <w:t xml:space="preserve">Vir: SURS (2024), povzeto po regionalobala.si</w:t>
      </w:r>
    </w:p>
    <w:p>
      <w:r>
        <w:br w:type="page"/>
      </w:r>
    </w:p>
    <w:p>
      <w:pPr>
        <w:pStyle w:val="Heading1"/>
        <w:pBdr>
          <w:bottom w:val="single" w:color="0F3D3E" w:sz="8" w:space="4"/>
        </w:pBdr>
        <w:spacing w:after="200" w:before="480"/>
      </w:pPr>
      <w:r>
        <w:rPr>
          <w:b/>
          <w:bCs/>
          <w:color w:val="0F3D3E"/>
          <w:sz w:val="30"/>
          <w:szCs w:val="30"/>
        </w:rPr>
        <w:t xml:space="preserve">3. Projekcije</w:t>
      </w:r>
    </w:p>
    <w:p>
      <w:pPr>
        <w:spacing w:after="140" w:line="288"/>
      </w:pPr>
      <w:r>
        <w:rPr>
          <w:sz w:val="21"/>
          <w:szCs w:val="21"/>
        </w:rPr>
        <w:t xml:space="preserve">Uradnih projekcij prebivalstva na ravni posamezne od štirih občin SURS praviloma ne objavlja; projekcije so metodološko zanesljive na ravni države in statističnih regij, na majhnih občinskih populacijah (Ankaran ima ok. 3.400 prebivalcev) pa je statistična negotovost velika. V tem poglavju zato ločimo nacionalno raven (trdna osnova) od regionalne (manj natančno) in izrecno opozarjamo, kjer občinski podatek manjka.</w:t>
      </w:r>
    </w:p>
    <w:p>
      <w:pPr>
        <w:pStyle w:val="Heading2"/>
        <w:spacing w:after="140" w:before="320"/>
      </w:pPr>
      <w:r>
        <w:rPr>
          <w:b/>
          <w:bCs/>
          <w:color w:val="146C74"/>
          <w:sz w:val="25"/>
          <w:szCs w:val="25"/>
        </w:rPr>
        <w:t xml:space="preserve">3.1 Nacionalna raven — EUROPOP2025</w:t>
      </w:r>
    </w:p>
    <w:p>
      <w:pPr>
        <w:spacing w:after="120" w:line="288"/>
      </w:pPr>
      <w:r>
        <w:rPr>
          <w:b/>
          <w:bCs/>
          <w:color w:val="1B6E30"/>
          <w:sz w:val="21"/>
          <w:szCs w:val="21"/>
        </w:rPr>
        <w:t xml:space="preserve">[DEJSTVO] </w:t>
      </w:r>
      <w:r>
        <w:rPr>
          <w:sz w:val="21"/>
          <w:szCs w:val="21"/>
        </w:rPr>
        <w:t xml:space="preserve">SURS je 18. junija 2026 objavil projekcije prebivalstva EUROPOP2025, ki predvidevajo nadaljnje staranje prebivalstva Slovenije v prihodnjih desetletjih.</w:t>
      </w:r>
    </w:p>
    <w:p>
      <w:pPr>
        <w:spacing w:after="220"/>
      </w:pPr>
      <w:r>
        <w:rPr>
          <w:i/>
          <w:iCs/>
          <w:color w:val="595959"/>
          <w:sz w:val="18"/>
          <w:szCs w:val="18"/>
        </w:rPr>
        <w:t xml:space="preserve">Vir: SURS, EUROPOP2025 (18. 6. 2026)</w:t>
      </w:r>
    </w:p>
    <w:p>
      <w:pPr>
        <w:spacing w:after="140" w:line="288"/>
      </w:pPr>
      <w:r>
        <w:rPr>
          <w:sz w:val="21"/>
          <w:szCs w:val="21"/>
        </w:rPr>
        <w:t>Po uradni projekciji EUROPOP2025 in spremljajočih uradnih podatkih: delež prebivalcev Slovenije, starih 65 let ali več, je leta 2025 znašal nekaj nad 22 %; do okoli leta 2030 naj bi se približal približno 24 %, do sredine stoletja (okoli 2055) pa naj bi se gibal okoli 32 %, nato pa se dolgoročno (2100) stabiliziral nekoliko nad 31 %. Indeks staranja na ravni Slovenije naj bi po projekcijah presegel prag 200 (dvakrat več prebivalcev 65+ kot otrok do 15 let) okoli leta 2033.</w:t>
      </w:r>
    </w:p>
    <w:p>
      <w:pPr>
        <w:spacing w:after="220"/>
      </w:pPr>
      <w:r>
        <w:rPr>
          <w:i/>
          <w:iCs/>
          <w:color w:val="595959"/>
          <w:sz w:val="18"/>
          <w:szCs w:val="18"/>
        </w:rPr>
        <w:t xml:space="preserve">Vir: Uradni list RS (pregled ob predstavitvi zakona o dolgotrajni oskrbi); IDP Akademija, Teoretična podlaga (2026)</w:t>
      </w:r>
    </w:p>
    <w:p>
      <w:pPr>
        <w:spacing w:after="120" w:line="288"/>
      </w:pPr>
      <w:r>
        <w:rPr>
          <w:b/>
          <w:bCs/>
          <w:color w:val="1553A0"/>
          <w:sz w:val="21"/>
          <w:szCs w:val="21"/>
        </w:rPr>
        <w:t xml:space="preserve">[INTERPRETACIJA] </w:t>
      </w:r>
      <w:r>
        <w:rPr>
          <w:sz w:val="21"/>
          <w:szCs w:val="21"/>
        </w:rPr>
        <w:t xml:space="preserve">Tudi ob morebitnem hitrem dvigu rodnosti bi trajalo približno dve desetletji, preden bi večje generacije otrok vstopile na trg dela. Priprava na starejšo družbo zato ni alternativa politiki rodnosti, temveč vzporedna, enako nujna naloga.</w:t>
      </w:r>
    </w:p>
    <w:p>
      <w:pPr>
        <w:pStyle w:val="Heading2"/>
        <w:spacing w:after="140" w:before="320"/>
      </w:pPr>
      <w:r>
        <w:rPr>
          <w:b/>
          <w:bCs/>
          <w:color w:val="146C74"/>
          <w:sz w:val="25"/>
          <w:szCs w:val="25"/>
        </w:rPr>
        <w:t xml:space="preserve">3.2 Regionalna raven — Obalno-kraška regija</w:t>
      </w:r>
    </w:p>
    <w:p>
      <w:pPr>
        <w:spacing w:after="140" w:line="288"/>
      </w:pPr>
      <w:r>
        <w:rPr>
          <w:sz w:val="21"/>
          <w:szCs w:val="21"/>
        </w:rPr>
        <w:t xml:space="preserve">Celovita demografska analiza za Ministrstvo za naravne vire in prostor (2025) ter Ocena gibanja potreb po stanovanjih do leta 2043 (POSTAN, junij 2025) vsebujeta demografske projekcije po statističnih regijah do leta 2040, z okvirnimi ocenami do 2060, na podlagi registrskega popisa SURS 2021 in Eurostatovih predpostavk o rodnosti, umrljivosti in selitvah. Obalno-kraška regija je imela v obdobju 2014–2023 povprečno pričakovano življenjsko dobo 78,70 leta za moške in 84,50 leta za ženske, ter je sprejela približno 10 % vseh neto priseljenih v Slovenijo — tretja največja regija po priseljevanju za osrednjeslovensko in podravsko regijo.</w:t>
      </w:r>
    </w:p>
    <w:p>
      <w:pPr>
        <w:spacing w:after="220"/>
      </w:pPr>
      <w:r>
        <w:rPr>
          <w:i/>
          <w:iCs/>
          <w:color w:val="595959"/>
          <w:sz w:val="18"/>
          <w:szCs w:val="18"/>
        </w:rPr>
        <w:t xml:space="preserve">Vir: MNVP, Celovita demografska analiza s projekcijami za podeželska in urbana območja (2025); POSTAN, Demografske projekcije, končno poročilo (11. 6. 2025)</w:t>
      </w:r>
    </w:p>
    <w:p>
      <w:pPr>
        <w:spacing w:after="120" w:line="288"/>
      </w:pPr>
      <w:r>
        <w:rPr>
          <w:b/>
          <w:bCs/>
          <w:color w:val="7A2E8A"/>
          <w:sz w:val="21"/>
          <w:szCs w:val="21"/>
        </w:rPr>
        <w:t xml:space="preserve">[PREDLOG] </w:t>
      </w:r>
      <w:r>
        <w:rPr>
          <w:sz w:val="21"/>
          <w:szCs w:val="21"/>
        </w:rPr>
        <w:t xml:space="preserve">IDP naj od MNVP in SURS pridobi razčlenitev regionalnih projekcij POSTAN/Celovite demografske analize posebej za Koper, Izolo, Piran in Ankaran, saj javno dostopni povzetki teh podatkov ne ločujejo po občinah.</w:t>
      </w:r>
    </w:p>
    <w:p>
      <w:pPr>
        <w:pStyle w:val="Heading2"/>
        <w:spacing w:after="140" w:before="320"/>
      </w:pPr>
      <w:r>
        <w:rPr>
          <w:b/>
          <w:bCs/>
          <w:color w:val="146C74"/>
          <w:sz w:val="25"/>
          <w:szCs w:val="25"/>
        </w:rPr>
        <w:t xml:space="preserve">3.3 Demografski časovni stroj kot metoda projiciranja</w:t>
      </w:r>
    </w:p>
    <w:p>
      <w:pPr>
        <w:spacing w:after="140" w:line="288"/>
      </w:pPr>
      <w:r>
        <w:rPr>
          <w:sz w:val="21"/>
          <w:szCs w:val="21"/>
        </w:rPr>
        <w:t xml:space="preserve">IDP je za slovensko raven že razvil konceptualni okvir Demografskega časovnega stroja: kohortno-komponentni model (letni izračun prebivalstva po starosti in spolu na podlagi rojstev, smrti, priselitev in odselitev), umerjen na preteklih podatkih, s tremi scenariji (osnovni, stresni, revitalizacijski) in intervalom negotovosti. Za Slovensko Istro predlagamo enak metodološki pristop kot drugi pilot za Demografski časovni stroj, po Ljubljani.</w:t>
      </w:r>
    </w:p>
    <w:p>
      <w:pPr>
        <w:spacing w:after="220"/>
      </w:pPr>
      <w:r>
        <w:rPr>
          <w:i/>
          <w:iCs/>
          <w:color w:val="595959"/>
          <w:sz w:val="18"/>
          <w:szCs w:val="18"/>
        </w:rPr>
        <w:t xml:space="preserve">Vir: IDP, Odprta raziskovalna ideja: Demografski časovni stroj (2026); IDP Strategija 2025–2035</w:t>
      </w:r>
    </w:p>
    <w:p>
      <w:pPr>
        <w:pStyle w:val="ListParagraph"/>
        <w:numPr>
          <w:ilvl w:val="0"/>
          <w:numId w:val="1"/>
        </w:numPr>
        <w:spacing w:after="80" w:line="276"/>
      </w:pPr>
      <w:r>
        <w:rPr>
          <w:sz w:val="21"/>
          <w:szCs w:val="21"/>
        </w:rPr>
        <w:t xml:space="preserve">Osnovni scenarij: nadaljevanje povprečnih trendov zadnjih let, z uradnimi predpostavkami o rodnosti, umrljivosti in migracijah.</w:t>
      </w:r>
    </w:p>
    <w:p>
      <w:pPr>
        <w:pStyle w:val="ListParagraph"/>
        <w:numPr>
          <w:ilvl w:val="0"/>
          <w:numId w:val="1"/>
        </w:numPr>
        <w:spacing w:after="80" w:line="276"/>
      </w:pPr>
      <w:r>
        <w:rPr>
          <w:sz w:val="21"/>
          <w:szCs w:val="21"/>
        </w:rPr>
        <w:t xml:space="preserve">Stresni scenarij: nižja realizirana rodnost, več odseljevanja mladih, manj vračanja, hitrejše zmanjševanje generacij v rodni dobi.</w:t>
      </w:r>
    </w:p>
    <w:p>
      <w:pPr>
        <w:pStyle w:val="ListParagraph"/>
        <w:numPr>
          <w:ilvl w:val="0"/>
          <w:numId w:val="1"/>
        </w:numPr>
        <w:spacing w:after="80" w:line="276"/>
      </w:pPr>
      <w:r>
        <w:rPr>
          <w:sz w:val="21"/>
          <w:szCs w:val="21"/>
        </w:rPr>
        <w:t xml:space="preserve">Revitalizacijski scenarij: nova stanovanja, priseljevanje mladih gospodinjstev, boljša dostopnost storitev, lokalna delovna mesta, višja realizacija želenih rojstev.</w:t>
      </w:r>
    </w:p>
    <w:p>
      <w:pPr>
        <w:spacing w:after="140" w:line="288"/>
      </w:pPr>
      <w:r>
        <w:rPr>
          <w:sz w:val="21"/>
          <w:szCs w:val="21"/>
        </w:rPr>
        <w:t xml:space="preserve">Ti trije scenariji so metodološka osnova za scenarije A/B/C, uporabljene v poglavju 16 tega dokumenta, prilagojene posebej na vprašanje regionalnega sodelovanja štirih občin.</w:t>
      </w:r>
    </w:p>
    <w:p>
      <w:r>
        <w:br w:type="page"/>
      </w:r>
    </w:p>
    <w:p>
      <w:pPr>
        <w:pStyle w:val="Heading1"/>
        <w:pBdr>
          <w:bottom w:val="single" w:color="0F3D3E" w:sz="8" w:space="4"/>
        </w:pBdr>
        <w:spacing w:after="200" w:before="480"/>
      </w:pPr>
      <w:r>
        <w:rPr>
          <w:b/>
          <w:bCs/>
          <w:color w:val="0F3D3E"/>
          <w:sz w:val="30"/>
          <w:szCs w:val="30"/>
        </w:rPr>
        <w:t xml:space="preserve">4. Staranje</w:t>
      </w:r>
    </w:p>
    <w:p>
      <w:pPr>
        <w:pBdr>
          <w:left w:val="single" w:color="8C6D31" w:sz="16" w:space="8"/>
        </w:pBdr>
        <w:spacing w:after="200" w:before="100"/>
        <w:ind w:left="400"/>
      </w:pPr>
      <w:r>
        <w:rPr>
          <w:i/>
          <w:iCs/>
          <w:color w:val="0F3D3E"/>
          <w:sz w:val="21"/>
          <w:szCs w:val="21"/>
        </w:rPr>
        <w:t xml:space="preserve">Ne borimo se samo proti staranju. Na staranje se pripravljamo.</w:t>
      </w:r>
    </w:p>
    <w:p>
      <w:pPr>
        <w:spacing w:after="140" w:line="288"/>
      </w:pPr>
      <w:r>
        <w:rPr>
          <w:sz w:val="21"/>
          <w:szCs w:val="21"/>
        </w:rPr>
        <w:t xml:space="preserve">Staranje prebivalstva Slovenske Istre ni samo problem, ki ga je treba preprečiti — je tudi realnost, na katero se je treba pripraviti, ne glede na to, kako uspešna bo politika spodbujanja rodnosti in vračanja mladih. Vsi štirje demografski indeksi staranja štirih občin (Izola ~200, Piran 228,2, Ankaran ~210, Koper nižje, a natančna vrednost za 2024 na ravni te raziskave ni bila potrjena) so že zdaj znatno nad mejo, ki pomeni več starejših kot otrok.</w:t>
      </w:r>
    </w:p>
    <w:p>
      <w:pPr>
        <w:pStyle w:val="Heading2"/>
        <w:spacing w:after="140" w:before="320"/>
      </w:pPr>
      <w:r>
        <w:rPr>
          <w:b/>
          <w:bCs/>
          <w:color w:val="146C74"/>
          <w:sz w:val="25"/>
          <w:szCs w:val="25"/>
        </w:rPr>
        <w:t xml:space="preserve">4.1 Stroškovna stran</w:t>
      </w:r>
    </w:p>
    <w:p>
      <w:pPr>
        <w:pStyle w:val="ListParagraph"/>
        <w:numPr>
          <w:ilvl w:val="0"/>
          <w:numId w:val="1"/>
        </w:numPr>
        <w:spacing w:after="80" w:line="276"/>
      </w:pPr>
      <w:r>
        <w:rPr>
          <w:sz w:val="21"/>
          <w:szCs w:val="21"/>
        </w:rPr>
        <w:t xml:space="preserve">Zdravstvo: večja obremenitev osnovnega zdravstva in specialistične obravnave starejših.</w:t>
      </w:r>
    </w:p>
    <w:p>
      <w:pPr>
        <w:pStyle w:val="ListParagraph"/>
        <w:numPr>
          <w:ilvl w:val="0"/>
          <w:numId w:val="1"/>
        </w:numPr>
        <w:spacing w:after="80" w:line="276"/>
      </w:pPr>
      <w:r>
        <w:rPr>
          <w:sz w:val="21"/>
          <w:szCs w:val="21"/>
        </w:rPr>
        <w:t xml:space="preserve">Dolgotrajna oskrba: rastoče potrebe po institucionalni in izvaninstitucionalni oskrbi (glej poglavje 5).</w:t>
      </w:r>
    </w:p>
    <w:p>
      <w:pPr>
        <w:pStyle w:val="ListParagraph"/>
        <w:numPr>
          <w:ilvl w:val="0"/>
          <w:numId w:val="1"/>
        </w:numPr>
        <w:spacing w:after="80" w:line="276"/>
      </w:pPr>
      <w:r>
        <w:rPr>
          <w:sz w:val="21"/>
          <w:szCs w:val="21"/>
        </w:rPr>
        <w:t xml:space="preserve">Pokojnine in javne finance: manj delovno aktivnih na enega upokojenca.</w:t>
      </w:r>
    </w:p>
    <w:p>
      <w:pPr>
        <w:pStyle w:val="ListParagraph"/>
        <w:numPr>
          <w:ilvl w:val="0"/>
          <w:numId w:val="1"/>
        </w:numPr>
        <w:spacing w:after="80" w:line="276"/>
      </w:pPr>
      <w:r>
        <w:rPr>
          <w:sz w:val="21"/>
          <w:szCs w:val="21"/>
        </w:rPr>
        <w:t xml:space="preserve">Pomoč na domu in prevoz: rastoče potrebe po mobilnosti za osebe z zmanjšano gibljivostjo.</w:t>
      </w:r>
    </w:p>
    <w:p>
      <w:pPr>
        <w:pStyle w:val="ListParagraph"/>
        <w:numPr>
          <w:ilvl w:val="0"/>
          <w:numId w:val="1"/>
        </w:numPr>
        <w:spacing w:after="80" w:line="276"/>
      </w:pPr>
      <w:r>
        <w:rPr>
          <w:sz w:val="21"/>
          <w:szCs w:val="21"/>
        </w:rPr>
        <w:t xml:space="preserve">Pomanjkanje kadra: negovalci, osebni asistenti in socialni oskrbovalci so med deficitarnimi poklici že danes (glej poglavje 6).</w:t>
      </w:r>
    </w:p>
    <w:p>
      <w:pPr>
        <w:pStyle w:val="Heading2"/>
        <w:spacing w:after="140" w:before="320"/>
      </w:pPr>
      <w:r>
        <w:rPr>
          <w:b/>
          <w:bCs/>
          <w:color w:val="146C74"/>
          <w:sz w:val="25"/>
          <w:szCs w:val="25"/>
        </w:rPr>
        <w:t xml:space="preserve">4.2 Razvojna stran — staranje kot priložnost</w:t>
      </w:r>
    </w:p>
    <w:p>
      <w:pPr>
        <w:spacing w:after="140" w:line="288"/>
      </w:pPr>
      <w:r>
        <w:rPr>
          <w:sz w:val="21"/>
          <w:szCs w:val="21"/>
        </w:rPr>
        <w:t xml:space="preserve">Starejših prebivalcev ne smemo obravnavati samo kot pokojnine, zdravstveni strošek, domove starejših in dolgotrajno oskrbo. Gre tudi za potrošnike, lastnike premoženja, nosilce znanja, prostovoljce, stare starše, mentorje, obiskovalce, turiste in uporabnike novih tehnologij — torej za enega od nosilnih trgov prihodnosti (srebrna ekonomija, poglavje 14).</w:t>
      </w:r>
    </w:p>
    <w:p>
      <w:pPr>
        <w:pStyle w:val="ListParagraph"/>
        <w:numPr>
          <w:ilvl w:val="0"/>
          <w:numId w:val="1"/>
        </w:numPr>
        <w:spacing w:after="80" w:line="276"/>
      </w:pPr>
      <w:r>
        <w:rPr>
          <w:sz w:val="21"/>
          <w:szCs w:val="21"/>
        </w:rPr>
        <w:t xml:space="preserve">Srebrna ekonomija in longevity economy (podrobno v poglavju 14).</w:t>
      </w:r>
    </w:p>
    <w:p>
      <w:pPr>
        <w:pStyle w:val="ListParagraph"/>
        <w:numPr>
          <w:ilvl w:val="0"/>
          <w:numId w:val="1"/>
        </w:numPr>
        <w:spacing w:after="80" w:line="276"/>
      </w:pPr>
      <w:r>
        <w:rPr>
          <w:sz w:val="21"/>
          <w:szCs w:val="21"/>
        </w:rPr>
        <w:t xml:space="preserve">Zdravstveni turizem, rehabilitacija, wellness.</w:t>
      </w:r>
    </w:p>
    <w:p>
      <w:pPr>
        <w:pStyle w:val="ListParagraph"/>
        <w:numPr>
          <w:ilvl w:val="0"/>
          <w:numId w:val="1"/>
        </w:numPr>
        <w:spacing w:after="80" w:line="276"/>
      </w:pPr>
      <w:r>
        <w:rPr>
          <w:sz w:val="21"/>
          <w:szCs w:val="21"/>
        </w:rPr>
        <w:t xml:space="preserve">Pametna stanovanja in asistivne tehnologije.</w:t>
      </w:r>
    </w:p>
    <w:p>
      <w:pPr>
        <w:pStyle w:val="ListParagraph"/>
        <w:numPr>
          <w:ilvl w:val="0"/>
          <w:numId w:val="1"/>
        </w:numPr>
        <w:spacing w:after="80" w:line="276"/>
      </w:pPr>
      <w:r>
        <w:rPr>
          <w:sz w:val="21"/>
          <w:szCs w:val="21"/>
        </w:rPr>
        <w:t xml:space="preserve">Robotika v oskrbi.</w:t>
      </w:r>
    </w:p>
    <w:p>
      <w:pPr>
        <w:pStyle w:val="ListParagraph"/>
        <w:numPr>
          <w:ilvl w:val="0"/>
          <w:numId w:val="1"/>
        </w:numPr>
        <w:spacing w:after="80" w:line="276"/>
      </w:pPr>
      <w:r>
        <w:rPr>
          <w:sz w:val="21"/>
          <w:szCs w:val="21"/>
        </w:rPr>
        <w:t xml:space="preserve">Senior tourism in nova stanovanjska ponudba, prilagojena starosti (poglavje 13).</w:t>
      </w:r>
    </w:p>
    <w:p>
      <w:pPr>
        <w:pStyle w:val="Heading2"/>
        <w:spacing w:after="140" w:before="320"/>
      </w:pPr>
      <w:r>
        <w:rPr>
          <w:b/>
          <w:bCs/>
          <w:color w:val="146C74"/>
          <w:sz w:val="25"/>
          <w:szCs w:val="25"/>
        </w:rPr>
        <w:t xml:space="preserve">4.3 Nova krovna logika</w:t>
      </w:r>
    </w:p>
    <w:p>
      <w:pPr>
        <w:spacing w:after="140" w:line="288"/>
      </w:pPr>
      <w:r>
        <w:rPr>
          <w:sz w:val="21"/>
          <w:szCs w:val="21"/>
        </w:rPr>
        <w:t xml:space="preserve">Predlagana logika za strategijo Slovenske Istre: rodnost za dolgoročno prihodnost + migracije za demografsko ravnotežje + priprava na staranje za realnost naslednjih desetletij. Vse tri smeri je treba razvijati vzporedno, ne zaporedno, ker učinki politik rodnosti nastopijo z zamikom 20–30 let, učinki priprave na staranje pa so potrebni že danes.</w:t>
      </w:r>
    </w:p>
    <w:p>
      <w:pPr>
        <w:spacing w:after="120" w:line="288"/>
      </w:pPr>
      <w:r>
        <w:rPr>
          <w:b/>
          <w:bCs/>
          <w:color w:val="7A2E8A"/>
          <w:sz w:val="21"/>
          <w:szCs w:val="21"/>
        </w:rPr>
        <w:t xml:space="preserve">[PREDLOG] </w:t>
      </w:r>
      <w:r>
        <w:rPr>
          <w:sz w:val="21"/>
          <w:szCs w:val="21"/>
        </w:rPr>
        <w:t xml:space="preserve">Vsak večji javni projekt v Slovenski Istri naj bo pri načrtovanju testiran z vprašanjem: ali bo uporaben tudi, ko bo v okolici bistveno več prebivalcev 75+ (glej Demografski monokel, priloga A).</w:t>
      </w:r>
    </w:p>
    <w:p>
      <w:r>
        <w:br w:type="page"/>
      </w:r>
    </w:p>
    <w:p>
      <w:pPr>
        <w:pStyle w:val="Heading1"/>
        <w:pBdr>
          <w:bottom w:val="single" w:color="0F3D3E" w:sz="8" w:space="4"/>
        </w:pBdr>
        <w:spacing w:after="200" w:before="480"/>
      </w:pPr>
      <w:r>
        <w:rPr>
          <w:b/>
          <w:bCs/>
          <w:color w:val="0F3D3E"/>
          <w:sz w:val="30"/>
          <w:szCs w:val="30"/>
        </w:rPr>
        <w:t xml:space="preserve">5. Zdravstveni sistem in dolgotrajna oskrba</w:t>
      </w:r>
    </w:p>
    <w:p>
      <w:pPr>
        <w:pStyle w:val="Heading2"/>
        <w:spacing w:after="140" w:before="320"/>
      </w:pPr>
      <w:r>
        <w:rPr>
          <w:b/>
          <w:bCs/>
          <w:color w:val="146C74"/>
          <w:sz w:val="25"/>
          <w:szCs w:val="25"/>
        </w:rPr>
        <w:t xml:space="preserve">5.1 Zakon o dolgotrajni oskrbi — stanje izvajanja</w:t>
      </w:r>
    </w:p>
    <w:p>
      <w:pPr>
        <w:spacing w:after="120" w:line="288"/>
      </w:pPr>
      <w:r>
        <w:rPr>
          <w:b/>
          <w:bCs/>
          <w:color w:val="1B6E30"/>
          <w:sz w:val="21"/>
          <w:szCs w:val="21"/>
        </w:rPr>
        <w:t xml:space="preserve">[DEJSTVO] </w:t>
      </w:r>
      <w:r>
        <w:rPr>
          <w:sz w:val="21"/>
          <w:szCs w:val="21"/>
        </w:rPr>
        <w:t xml:space="preserve">Zakon o dolgotrajni oskrbi (ZDOsk-1) se v Sloveniji izvaja postopoma; obvezno plačevanje prispevka za dolgotrajno oskrbo se je za zaposlene, delodajalce in upokojence začelo 1. julija 2025. Državni zbor je 12. junija 2025 sprejel novelo zakona.</w:t>
      </w:r>
    </w:p>
    <w:p>
      <w:pPr>
        <w:spacing w:after="220"/>
      </w:pPr>
      <w:r>
        <w:rPr>
          <w:i/>
          <w:iCs/>
          <w:color w:val="595959"/>
          <w:sz w:val="18"/>
          <w:szCs w:val="18"/>
        </w:rPr>
        <w:t>Vir: ZDOsk-1, Uradni list RS 84/23, s spremembami; Državni zbor RS, novela sprejeta 12. junija 2025.</w:t>
      </w:r>
    </w:p>
    <w:p>
      <w:pPr>
        <w:pStyle w:val="ListParagraph"/>
        <w:numPr>
          <w:ilvl w:val="0"/>
          <w:numId w:val="1"/>
        </w:numPr>
        <w:spacing w:after="80" w:line="276"/>
      </w:pPr>
      <w:r>
        <w:rPr>
          <w:sz w:val="21"/>
          <w:szCs w:val="21"/>
        </w:rPr>
        <w:t>Od 1. julija 2025 lahko tudi upokojenci postanejo oskrbovalci družinskega člana in prejemajo nadomestilo v višini 1,2-kratnika minimalne plače plus 40 % zajamčene pokojnine.</w:t>
      </w:r>
    </w:p>
    <w:p>
      <w:pPr>
        <w:pStyle w:val="ListParagraph"/>
        <w:numPr>
          <w:ilvl w:val="0"/>
          <w:numId w:val="1"/>
        </w:numPr>
        <w:spacing w:after="80" w:line="276"/>
      </w:pPr>
      <w:r>
        <w:rPr>
          <w:sz w:val="21"/>
          <w:szCs w:val="21"/>
        </w:rPr>
        <w:t xml:space="preserve">Od 1. decembra 2025 so stroški bivanja in prehrane v domovih za starejše navzgor omejeni na približno 780 EUR mesečno (raven zajamčene pokojnine za 40 let delovne dobe).</w:t>
      </w:r>
    </w:p>
    <w:p>
      <w:pPr>
        <w:pStyle w:val="ListParagraph"/>
        <w:numPr>
          <w:ilvl w:val="0"/>
          <w:numId w:val="1"/>
        </w:numPr>
        <w:spacing w:after="80" w:line="276"/>
      </w:pPr>
      <w:r>
        <w:rPr>
          <w:sz w:val="21"/>
          <w:szCs w:val="21"/>
        </w:rPr>
        <w:t xml:space="preserve">Program e-oskrba, prej pilotno izveden za približno 5.000 uporabnikov, se nadaljuje v novem sistemu.</w:t>
      </w:r>
    </w:p>
    <w:p>
      <w:pPr>
        <w:pStyle w:val="ListParagraph"/>
        <w:numPr>
          <w:ilvl w:val="0"/>
          <w:numId w:val="1"/>
        </w:numPr>
        <w:spacing w:after="80" w:line="276"/>
      </w:pPr>
      <w:r>
        <w:rPr>
          <w:sz w:val="21"/>
          <w:szCs w:val="21"/>
        </w:rPr>
        <w:t>V prvem letu in pol izvajanja je status oskrbovalca družinskega člana pridobilo približno 1.600 oseb.</w:t>
      </w:r>
    </w:p>
    <w:p>
      <w:pPr>
        <w:pStyle w:val="ListParagraph"/>
        <w:numPr>
          <w:ilvl w:val="0"/>
          <w:numId w:val="1"/>
        </w:numPr>
        <w:spacing w:after="80" w:line="276"/>
      </w:pPr>
      <w:r>
        <w:rPr>
          <w:sz w:val="21"/>
          <w:szCs w:val="21"/>
        </w:rPr>
        <w:t xml:space="preserve">Ocenjeni letni prispevek državnega proračuna je omejen na največ približno 190 milijonov EUR; financiranje se postopoma prevesi na obvezno zavarovanje za dolgotrajno oskrbo.</w:t>
      </w:r>
    </w:p>
    <w:p>
      <w:pPr>
        <w:spacing w:after="220"/>
      </w:pPr>
      <w:r>
        <w:rPr>
          <w:i/>
          <w:iCs/>
          <w:color w:val="595959"/>
          <w:sz w:val="18"/>
          <w:szCs w:val="18"/>
        </w:rPr>
        <w:t xml:space="preserve">Vir: RTV SLO (12. 6. 2025); Uradni list RS, pregled izvajanja zakona</w:t>
      </w:r>
    </w:p>
    <w:p>
      <w:pPr>
        <w:spacing w:after="120" w:line="288"/>
      </w:pPr>
      <w:r>
        <w:rPr>
          <w:b/>
          <w:bCs/>
          <w:color w:val="1553A0"/>
          <w:sz w:val="21"/>
          <w:szCs w:val="21"/>
        </w:rPr>
        <w:t xml:space="preserve">[INTERPRETACIJA] </w:t>
      </w:r>
      <w:r>
        <w:rPr>
          <w:sz w:val="21"/>
          <w:szCs w:val="21"/>
        </w:rPr>
        <w:t xml:space="preserve">Kadrovski primanjkljaj ostaja osrednje tveganje izvajanja zakona; opozicija in stroka so že ob sprejemu novele opozarjali, da zakon brez zadostnega kadra v mnogih občinah morda ne bo zares zaživel. Načrtovano je širjenje nabora poklicev v dolgotrajni oskrbi in lažje zaposlovanje tujcev.</w:t>
      </w:r>
    </w:p>
    <w:p>
      <w:pPr>
        <w:pStyle w:val="Heading2"/>
        <w:spacing w:after="140" w:before="320"/>
      </w:pPr>
      <w:r>
        <w:rPr>
          <w:b/>
          <w:bCs/>
          <w:color w:val="146C74"/>
          <w:sz w:val="25"/>
          <w:szCs w:val="25"/>
        </w:rPr>
        <w:t xml:space="preserve">5.2 Zdravstveno stanje Obalno-kraške regije</w:t>
      </w:r>
    </w:p>
    <w:p>
      <w:pPr>
        <w:spacing w:after="140" w:line="288"/>
      </w:pPr>
      <w:r>
        <w:rPr>
          <w:sz w:val="21"/>
          <w:szCs w:val="21"/>
        </w:rPr>
        <w:t xml:space="preserve">Kot navedeno v poglavju 2.2, je bila starostno standardizirana splošna umrljivost v Kopru (NIJZ, 2025) okoli 845 na 100.000 prebivalcev, kar je pod slovenskim povprečjem (okoli 922), delež umrlih pred 65. letom v regiji pa je bil leta 2024 drugi najnižji med regijami (12 %). To je pomemben protiutež h golemu vtisu, da starejša regija pomeni slabše zdravje prebivalstva.</w:t>
      </w:r>
    </w:p>
    <w:p>
      <w:pPr>
        <w:spacing w:after="120" w:line="288"/>
      </w:pPr>
      <w:r>
        <w:rPr>
          <w:b/>
          <w:bCs/>
          <w:color w:val="7A2E8A"/>
          <w:sz w:val="21"/>
          <w:szCs w:val="21"/>
        </w:rPr>
        <w:t xml:space="preserve">[PREDLOG] </w:t>
      </w:r>
      <w:r>
        <w:rPr>
          <w:sz w:val="21"/>
          <w:szCs w:val="21"/>
        </w:rPr>
        <w:t xml:space="preserve">IDP naj vzpostavi reden letni pregled kazalnikov NIJZ (obcine.nijz.si) posebej za Koper, Izolo, Piran in Ankaran: pričakovano življenjsko dobo, standardizirano umrljivost, razširjenost kroničnih bolezni in dostopnost osnovnega zdravstva — ti podatki so javno dostopni, a jih je treba sistematično zbirati po občinah, kar presega obseg tega dokumenta.</w:t>
      </w:r>
    </w:p>
    <w:p>
      <w:pPr>
        <w:pStyle w:val="Heading2"/>
        <w:spacing w:after="140" w:before="320"/>
      </w:pPr>
      <w:r>
        <w:rPr>
          <w:b/>
          <w:bCs/>
          <w:color w:val="146C74"/>
          <w:sz w:val="25"/>
          <w:szCs w:val="25"/>
        </w:rPr>
        <w:t xml:space="preserve">5.3 Nacionalni okvir potreb po kadru</w:t>
      </w:r>
    </w:p>
    <w:p>
      <w:pPr>
        <w:spacing w:after="140" w:line="288"/>
      </w:pPr>
      <w:r>
        <w:rPr>
          <w:sz w:val="21"/>
          <w:szCs w:val="21"/>
        </w:rPr>
        <w:t xml:space="preserve">Zavod RS za zaposlovanje je poklice v dolgotrajni oskrbi (negovalci, osebni asistenti, socialni oskrbovalci) uvrstil med deficitarne. Nacionalno je bilo v prvem četrtletju 2026 evidentiranih približno 20.300 prostih delovnih mest, v gradbeništvu je bila stopnja prostih delovnih mest (5,1 %) najvišja med panogami, leta 2025 pa je bilo tujcem izdanih približno 42.339 delovnih dovoljenj.</w:t>
      </w:r>
    </w:p>
    <w:p>
      <w:pPr>
        <w:spacing w:after="220"/>
      </w:pPr>
      <w:r>
        <w:rPr>
          <w:i/>
          <w:iCs/>
          <w:color w:val="595959"/>
          <w:sz w:val="18"/>
          <w:szCs w:val="18"/>
        </w:rPr>
        <w:t xml:space="preserve">Vir: ZRSZ, Strokovna izhodišča za leto 2026 (november 2025); siol.net (2026)</w:t>
      </w:r>
    </w:p>
    <w:p>
      <w:pPr>
        <w:spacing w:after="120" w:line="288"/>
      </w:pPr>
      <w:r>
        <w:rPr>
          <w:b/>
          <w:bCs/>
          <w:color w:val="1553A0"/>
          <w:sz w:val="21"/>
          <w:szCs w:val="21"/>
        </w:rPr>
        <w:t xml:space="preserve">[INTERPRETACIJA] </w:t>
      </w:r>
      <w:r>
        <w:rPr>
          <w:sz w:val="21"/>
          <w:szCs w:val="21"/>
        </w:rPr>
        <w:t xml:space="preserve">Podobna dinamika kadrovskega primanjkljaja v oskrbi, gradbeništvu in javnem prevozu velja tudi za Slovensko Istro, čeprav podatka na ravni štirih občin nimamo. To je razlog več, da IDP razvije lokalno različico digitalizacija → optimizacija → avtomatizacija → robotizacija (poglavje 7), namesto da samo čaka na več kadra, ki ga na trgu morda ne bo.</w:t>
      </w:r>
    </w:p>
    <w:p>
      <w:r>
        <w:br w:type="page"/>
      </w:r>
    </w:p>
    <w:p>
      <w:pPr>
        <w:pStyle w:val="Heading1"/>
        <w:pBdr>
          <w:bottom w:val="single" w:color="0F3D3E" w:sz="8" w:space="4"/>
        </w:pBdr>
        <w:spacing w:after="200" w:before="480"/>
      </w:pPr>
      <w:r>
        <w:rPr>
          <w:b/>
          <w:bCs/>
          <w:color w:val="0F3D3E"/>
          <w:sz w:val="30"/>
          <w:szCs w:val="30"/>
        </w:rPr>
        <w:t xml:space="preserve">6. Delovna sila in aktivno prebivalstvo</w:t>
      </w:r>
    </w:p>
    <w:p>
      <w:pPr>
        <w:spacing w:after="140" w:line="288"/>
      </w:pPr>
      <w:r>
        <w:rPr>
          <w:sz w:val="21"/>
          <w:szCs w:val="21"/>
        </w:rPr>
        <w:t xml:space="preserve">Namesto ozkega vprašanja 'kako privabiti mlade' predlagamo širši koncept aktivnega prebivalstva: ljudi različnih starosti, ki želijo delati, ustvarjati, ustanavljati podjetja, vzgajati otroke, skrbeti za druge, pridelovati hrano, razvijati skupnost ali uporabljati svoje znanje. To je lahko 24-letni diplomant, 35-letna družina, 42-letni podjetnik, 48-letni zdravstveni delavec, 55-letni strokovnjak na začetku novega življenjskega obdobja ali povratnik iz tujine.</w:t>
      </w:r>
    </w:p>
    <w:p>
      <w:pPr>
        <w:spacing w:after="120" w:line="288"/>
      </w:pPr>
      <w:r>
        <w:rPr>
          <w:b/>
          <w:bCs/>
          <w:color w:val="7A2E8A"/>
          <w:sz w:val="21"/>
          <w:szCs w:val="21"/>
        </w:rPr>
        <w:t xml:space="preserve">[PREDLOG] </w:t>
      </w:r>
      <w:r>
        <w:rPr>
          <w:sz w:val="21"/>
          <w:szCs w:val="21"/>
        </w:rPr>
        <w:t xml:space="preserve">Osrednji kriterij demografske vrednosti prebivalca naj ne bo samo starost, temveč vprašanje, ali njegova prisotnost povečuje dolgoročno sposobnost skupnosti, da sama sebe vzdržuje.</w:t>
      </w:r>
    </w:p>
    <w:p>
      <w:pPr>
        <w:pStyle w:val="Heading2"/>
        <w:spacing w:after="140" w:before="320"/>
      </w:pPr>
      <w:r>
        <w:rPr>
          <w:b/>
          <w:bCs/>
          <w:color w:val="146C74"/>
          <w:sz w:val="25"/>
          <w:szCs w:val="25"/>
        </w:rPr>
        <w:t xml:space="preserve">6.1 Nacionalni okvir trga dela</w:t>
      </w:r>
    </w:p>
    <w:p>
      <w:pPr>
        <w:spacing w:after="140" w:line="288"/>
      </w:pPr>
      <w:r>
        <w:rPr>
          <w:sz w:val="21"/>
          <w:szCs w:val="21"/>
        </w:rPr>
        <w:t xml:space="preserve">Po projekciji, povzeti v javnem poročanju za konec desetletja, bo imela Slovenija okoli leta 2030 približno 2,14 milijona prebivalcev (podobno kot danes), a bistveno starejšo strukturo: skoraj vsak četrti prebivalec (24,2 %) naj bi bil star 65 ali več, delež 80+ pa naj bi dosegel 6,6 %. Nacionalno je bilo julija 2026 registriranih 43.257 brezposelnih, ob istočasno visokem številu prostih delovnih mest (~20.300 v Q1 2026) — kar kaže na strukturno, ne le ciklično neskladje med ponudbo in povpraševanjem po delovni sili.</w:t>
      </w:r>
    </w:p>
    <w:p>
      <w:pPr>
        <w:spacing w:after="220"/>
      </w:pPr>
      <w:r>
        <w:rPr>
          <w:i/>
          <w:iCs/>
          <w:color w:val="595959"/>
          <w:sz w:val="18"/>
          <w:szCs w:val="18"/>
        </w:rPr>
        <w:t xml:space="preserve">Vir: Povzeto po ZRSZ in poročanju na podlagi SURS podatkov (2026)</w:t>
      </w:r>
    </w:p>
    <w:p>
      <w:pPr>
        <w:pStyle w:val="Heading2"/>
        <w:spacing w:after="140" w:before="320"/>
      </w:pPr>
      <w:r>
        <w:rPr>
          <w:b/>
          <w:bCs/>
          <w:color w:val="146C74"/>
          <w:sz w:val="25"/>
          <w:szCs w:val="25"/>
        </w:rPr>
        <w:t xml:space="preserve">6.2 Regionalna slika (kjer je znana)</w:t>
      </w:r>
    </w:p>
    <w:p>
      <w:pPr>
        <w:spacing w:after="140" w:line="288"/>
      </w:pPr>
      <w:r>
        <w:rPr>
          <w:sz w:val="21"/>
          <w:szCs w:val="21"/>
        </w:rPr>
        <w:t>Obalno-kraška regija je imela leta 2024 stopnjo delovne aktivnosti 70,0 %, enako kot Slovenija, povprečna mesečna neto plača na zaposleno osebo pa je znašala 1.472,46 EUR (53,56 EUR pod državnim povprečjem). Natančnejših podatkov o strukturi zaposlenih po sektorjih posebej za Koper, Izolo, Piran in Ankaran v okviru tega pregleda nismo pridobili — to je vrzel za naslednjo fazo raziskave.</w:t>
      </w:r>
    </w:p>
    <w:p>
      <w:pPr>
        <w:spacing w:after="220"/>
      </w:pPr>
      <w:r>
        <w:rPr>
          <w:i/>
          <w:iCs/>
          <w:color w:val="595959"/>
          <w:sz w:val="18"/>
          <w:szCs w:val="18"/>
        </w:rPr>
        <w:t xml:space="preserve">Vir: SURS (2024), povzeto po regionalobala.si</w:t>
      </w:r>
    </w:p>
    <w:p>
      <w:pPr>
        <w:pStyle w:val="Heading2"/>
        <w:spacing w:after="140" w:before="320"/>
      </w:pPr>
      <w:r>
        <w:rPr>
          <w:b/>
          <w:bCs/>
          <w:color w:val="146C74"/>
          <w:sz w:val="25"/>
          <w:szCs w:val="25"/>
        </w:rPr>
        <w:t xml:space="preserve">6.3 Vloga migracij v delovni sili</w:t>
      </w:r>
    </w:p>
    <w:p>
      <w:pPr>
        <w:spacing w:after="140" w:line="288"/>
      </w:pPr>
      <w:r>
        <w:rPr>
          <w:sz w:val="21"/>
          <w:szCs w:val="21"/>
        </w:rPr>
        <w:t xml:space="preserve">Glede na visok delež tujih državljanov v Obalno-kraški regiji (glej poglavje 2.4) je verjetno, da tuja delovna sila že danes pomembno prispeva k delovanju turizma, gradbeništva, logistike (Luka Koper) in dela zdravstva/oskrbe v Slovenski Istri. Natančnega deleža in strukture (sektor, kvalifikacija, državljanstvo) na ravni štirih občin nimamo — gre za hipotezo, skladno s širšim regijskim vzorcem, ne za potrjen lokalen podatek.</w:t>
      </w:r>
    </w:p>
    <w:p>
      <w:pPr>
        <w:spacing w:after="120" w:line="288"/>
      </w:pPr>
      <w:r>
        <w:rPr>
          <w:b/>
          <w:bCs/>
          <w:color w:val="9A6B00"/>
          <w:sz w:val="21"/>
          <w:szCs w:val="21"/>
        </w:rPr>
        <w:t xml:space="preserve">[HIPOTEZA] </w:t>
      </w:r>
      <w:r>
        <w:rPr>
          <w:sz w:val="21"/>
          <w:szCs w:val="21"/>
        </w:rPr>
        <w:t xml:space="preserve">Slovenska Istra je pri delovanju ključnih sektorjev (zdravstvo, oskrba, gradbeništvo, turizem, logistika) že danes pomembno odvisna od tuje delovne sile; to je treba potrditi z uradnimi podatki ZRSZ oziroma SURS po občinah, preden postane trdna podlaga za politiko.</w:t>
      </w:r>
    </w:p>
    <w:p>
      <w:r>
        <w:br w:type="page"/>
      </w:r>
    </w:p>
    <w:p>
      <w:pPr>
        <w:pStyle w:val="Heading1"/>
        <w:pBdr>
          <w:bottom w:val="single" w:color="0F3D3E" w:sz="8" w:space="4"/>
        </w:pBdr>
        <w:spacing w:after="200" w:before="480"/>
      </w:pPr>
      <w:r>
        <w:rPr>
          <w:b/>
          <w:bCs/>
          <w:color w:val="0F3D3E"/>
          <w:sz w:val="30"/>
          <w:szCs w:val="30"/>
        </w:rPr>
        <w:t xml:space="preserve">7. Digitalizacija in avtomatizacija</w:t>
      </w:r>
    </w:p>
    <w:p>
      <w:pPr>
        <w:pBdr>
          <w:left w:val="single" w:color="8C6D31" w:sz="16" w:space="8"/>
        </w:pBdr>
        <w:spacing w:after="200" w:before="100"/>
        <w:ind w:left="400"/>
      </w:pPr>
      <w:r>
        <w:rPr>
          <w:i/>
          <w:iCs/>
          <w:color w:val="0F3D3E"/>
          <w:sz w:val="21"/>
          <w:szCs w:val="21"/>
        </w:rPr>
        <w:t xml:space="preserve">Človeka odstranimo iz mikroprocesa, kjer ni potreben, zato da lahko človeka ohranimo tam, kjer je njegova prisotnost nenadomestljiva.</w:t>
      </w:r>
    </w:p>
    <w:p>
      <w:pPr>
        <w:spacing w:after="140" w:line="288"/>
      </w:pPr>
      <w:r>
        <w:rPr>
          <w:sz w:val="21"/>
          <w:szCs w:val="21"/>
        </w:rPr>
        <w:t xml:space="preserve">Pri pomanjkanju delovno aktivnega prebivalstva obstajata načeloma dve možnosti: zmanjšamo obseg storitev ali z manj ljudmi naredimo več. Druga možnost pomeni tehnološko povečanje produktivnosti — vendar po strogo določenem vrstnem redu, ne z avtomatizacijo slabega procesa.</w:t>
      </w:r>
    </w:p>
    <w:p>
      <w:pPr>
        <w:pStyle w:val="Heading2"/>
        <w:spacing w:after="140" w:before="320"/>
      </w:pPr>
      <w:r>
        <w:rPr>
          <w:b/>
          <w:bCs/>
          <w:color w:val="146C74"/>
          <w:sz w:val="25"/>
          <w:szCs w:val="25"/>
        </w:rPr>
        <w:t xml:space="preserve">7.1 Vrstni red: digitalizacija → optimizacija → avtomatizacija → robotizacija</w:t>
      </w:r>
    </w:p>
    <w:p>
      <w:pPr>
        <w:pStyle w:val="Heading3"/>
        <w:spacing w:after="100" w:before="220"/>
      </w:pPr>
      <w:r>
        <w:rPr>
          <w:b/>
          <w:bCs/>
          <w:i/>
          <w:iCs/>
          <w:color w:val="8C6D31"/>
          <w:sz w:val="22"/>
          <w:szCs w:val="22"/>
        </w:rPr>
        <w:t xml:space="preserve">1. Digitalizacija</w:t>
      </w:r>
    </w:p>
    <w:p>
      <w:pPr>
        <w:spacing w:after="140" w:line="288"/>
      </w:pPr>
      <w:r>
        <w:rPr>
          <w:sz w:val="21"/>
          <w:szCs w:val="21"/>
        </w:rPr>
        <w:t xml:space="preserve">Informacija mora najprej postati digitalna in dostopna — ne 'PDF obrazec → natisni → podpiši → skeniraj → pošlji', temveč dejanski digitalni proces.</w:t>
      </w:r>
    </w:p>
    <w:p>
      <w:pPr>
        <w:pStyle w:val="Heading3"/>
        <w:spacing w:after="100" w:before="220"/>
      </w:pPr>
      <w:r>
        <w:rPr>
          <w:b/>
          <w:bCs/>
          <w:i/>
          <w:iCs/>
          <w:color w:val="8C6D31"/>
          <w:sz w:val="22"/>
          <w:szCs w:val="22"/>
        </w:rPr>
        <w:t xml:space="preserve">2. Optimizacija</w:t>
      </w:r>
    </w:p>
    <w:p>
      <w:pPr>
        <w:spacing w:after="140" w:line="288"/>
      </w:pPr>
      <w:r>
        <w:rPr>
          <w:sz w:val="21"/>
          <w:szCs w:val="21"/>
        </w:rPr>
        <w:t xml:space="preserve">Preden karkoli avtomatiziramo, se vprašamo, zakaj posamezen korak sploh obstaja. Če postopek vsebuje 17 korakov, jih morda ne smemo avtomatizirati vseh 17 — morda jih potrebujemo samo 6.</w:t>
      </w:r>
    </w:p>
    <w:p>
      <w:pPr>
        <w:pStyle w:val="Heading3"/>
        <w:spacing w:after="100" w:before="220"/>
      </w:pPr>
      <w:r>
        <w:rPr>
          <w:b/>
          <w:bCs/>
          <w:i/>
          <w:iCs/>
          <w:color w:val="8C6D31"/>
          <w:sz w:val="22"/>
          <w:szCs w:val="22"/>
        </w:rPr>
        <w:t xml:space="preserve">3. Avtomatizacija</w:t>
      </w:r>
    </w:p>
    <w:p>
      <w:pPr>
        <w:spacing w:after="140" w:line="288"/>
      </w:pPr>
      <w:r>
        <w:rPr>
          <w:sz w:val="21"/>
          <w:szCs w:val="21"/>
        </w:rPr>
        <w:t xml:space="preserve">Šele nato avtomatiziramo preverjanje podatkov, termine, administrativne postopke, obračune, dokumentacijo, poročanje, naročanje in del komunikacije.</w:t>
      </w:r>
    </w:p>
    <w:p>
      <w:pPr>
        <w:pStyle w:val="Heading3"/>
        <w:spacing w:after="100" w:before="220"/>
      </w:pPr>
      <w:r>
        <w:rPr>
          <w:b/>
          <w:bCs/>
          <w:i/>
          <w:iCs/>
          <w:color w:val="8C6D31"/>
          <w:sz w:val="22"/>
          <w:szCs w:val="22"/>
        </w:rPr>
        <w:t xml:space="preserve">4. Robotizacija</w:t>
      </w:r>
    </w:p>
    <w:p>
      <w:pPr>
        <w:spacing w:after="140" w:line="288"/>
      </w:pPr>
      <w:r>
        <w:rPr>
          <w:sz w:val="21"/>
          <w:szCs w:val="21"/>
        </w:rPr>
        <w:t xml:space="preserve">Na koncu pride fizična avtomatizacija: logistika v bolnišnicah in domovih starejših, transport materiala, čiščenje, priprava zdravil, dostava hrane, pomoč pri mobilnosti in rehabilitaciji.</w:t>
      </w:r>
    </w:p>
    <w:p>
      <w:pPr>
        <w:pStyle w:val="Heading2"/>
        <w:spacing w:after="140" w:before="320"/>
      </w:pPr>
      <w:r>
        <w:rPr>
          <w:b/>
          <w:bCs/>
          <w:color w:val="146C74"/>
          <w:sz w:val="25"/>
          <w:szCs w:val="25"/>
        </w:rPr>
        <w:t xml:space="preserve">7.2 Kje v Slovenski Istri to najprej preveriti</w:t>
      </w:r>
    </w:p>
    <w:p>
      <w:pPr>
        <w:pStyle w:val="ListParagraph"/>
        <w:numPr>
          <w:ilvl w:val="0"/>
          <w:numId w:val="1"/>
        </w:numPr>
        <w:spacing w:after="80" w:line="276"/>
      </w:pPr>
      <w:r>
        <w:rPr>
          <w:sz w:val="21"/>
          <w:szCs w:val="21"/>
        </w:rPr>
        <w:t xml:space="preserve">Občinske uprave (Koper, Izola, Piran, Ankaran) — administrativni postopki, vloge, izdaja dovoljenj.</w:t>
      </w:r>
    </w:p>
    <w:p>
      <w:pPr>
        <w:pStyle w:val="ListParagraph"/>
        <w:numPr>
          <w:ilvl w:val="0"/>
          <w:numId w:val="1"/>
        </w:numPr>
        <w:spacing w:after="80" w:line="276"/>
      </w:pPr>
      <w:r>
        <w:rPr>
          <w:sz w:val="21"/>
          <w:szCs w:val="21"/>
        </w:rPr>
        <w:t xml:space="preserve">Zdravstvo in Splošna bolnišnica Izola — naročanje, čakalne vrste, logistika.</w:t>
      </w:r>
    </w:p>
    <w:p>
      <w:pPr>
        <w:pStyle w:val="ListParagraph"/>
        <w:numPr>
          <w:ilvl w:val="0"/>
          <w:numId w:val="1"/>
        </w:numPr>
        <w:spacing w:after="80" w:line="276"/>
      </w:pPr>
      <w:r>
        <w:rPr>
          <w:sz w:val="21"/>
          <w:szCs w:val="21"/>
        </w:rPr>
        <w:t xml:space="preserve">Domovi starejših in dolgotrajna oskrba — dokumentacija, spremljanje stanja, e-oskrba.</w:t>
      </w:r>
    </w:p>
    <w:p>
      <w:pPr>
        <w:pStyle w:val="ListParagraph"/>
        <w:numPr>
          <w:ilvl w:val="0"/>
          <w:numId w:val="1"/>
        </w:numPr>
        <w:spacing w:after="80" w:line="276"/>
      </w:pPr>
      <w:r>
        <w:rPr>
          <w:sz w:val="21"/>
          <w:szCs w:val="21"/>
        </w:rPr>
        <w:t xml:space="preserve">Socialne službe — vloge, preverjanje upravičenosti, poročanje.</w:t>
      </w:r>
    </w:p>
    <w:p>
      <w:pPr>
        <w:pStyle w:val="ListParagraph"/>
        <w:numPr>
          <w:ilvl w:val="0"/>
          <w:numId w:val="1"/>
        </w:numPr>
        <w:spacing w:after="80" w:line="276"/>
      </w:pPr>
      <w:r>
        <w:rPr>
          <w:sz w:val="21"/>
          <w:szCs w:val="21"/>
        </w:rPr>
        <w:t xml:space="preserve">Komunalna podjetja (npr. Rižanski vodovod) — spremljanje porabe, zaznavanje izgub.</w:t>
      </w:r>
    </w:p>
    <w:p>
      <w:pPr>
        <w:pStyle w:val="ListParagraph"/>
        <w:numPr>
          <w:ilvl w:val="0"/>
          <w:numId w:val="1"/>
        </w:numPr>
        <w:spacing w:after="80" w:line="276"/>
      </w:pPr>
      <w:r>
        <w:rPr>
          <w:sz w:val="21"/>
          <w:szCs w:val="21"/>
        </w:rPr>
        <w:t xml:space="preserve">Turizem in kratkotrajno oddajanje — evidentiranje, nadzor nad omejitvami dni (glej poglavje 8).</w:t>
      </w:r>
    </w:p>
    <w:p>
      <w:pPr>
        <w:pStyle w:val="ListParagraph"/>
        <w:numPr>
          <w:ilvl w:val="0"/>
          <w:numId w:val="1"/>
        </w:numPr>
        <w:spacing w:after="80" w:line="276"/>
      </w:pPr>
      <w:r>
        <w:rPr>
          <w:sz w:val="21"/>
          <w:szCs w:val="21"/>
        </w:rPr>
        <w:t xml:space="preserve">Javni prevoz in logistika.</w:t>
      </w:r>
    </w:p>
    <w:p>
      <w:pPr>
        <w:spacing w:after="120" w:line="288"/>
      </w:pPr>
      <w:r>
        <w:rPr>
          <w:b/>
          <w:bCs/>
          <w:color w:val="7A2E8A"/>
          <w:sz w:val="21"/>
          <w:szCs w:val="21"/>
        </w:rPr>
        <w:t xml:space="preserve">[PREDLOG] </w:t>
      </w:r>
      <w:r>
        <w:rPr>
          <w:sz w:val="21"/>
          <w:szCs w:val="21"/>
        </w:rPr>
        <w:t xml:space="preserve">Administrativno osebje naj manj časa porabi za prepisovanje podatkov, obrazce, preverjanje, naročanje in poročanje, in več časa za naloge, kjer je nujna človeška presoja ali komunikacija — to je merljiv cilj, ki ga je mogoče vključiti v občinske strategije digitalizacije.</w:t>
      </w:r>
    </w:p>
    <w:p>
      <w:pPr>
        <w:pStyle w:val="Heading2"/>
        <w:spacing w:after="140" w:before="320"/>
      </w:pPr>
      <w:r>
        <w:rPr>
          <w:b/>
          <w:bCs/>
          <w:color w:val="146C74"/>
          <w:sz w:val="25"/>
          <w:szCs w:val="25"/>
        </w:rPr>
        <w:t xml:space="preserve">7.3 Cena neukrepanja</w:t>
      </w:r>
    </w:p>
    <w:p>
      <w:pPr>
        <w:spacing w:after="120" w:line="288"/>
      </w:pPr>
      <w:r>
        <w:rPr>
          <w:b/>
          <w:bCs/>
          <w:color w:val="A32020"/>
          <w:sz w:val="21"/>
          <w:szCs w:val="21"/>
        </w:rPr>
        <w:t xml:space="preserve">[NEUKREPANJE] </w:t>
      </w:r>
      <w:r>
        <w:rPr>
          <w:sz w:val="21"/>
          <w:szCs w:val="21"/>
        </w:rPr>
        <w:t xml:space="preserve">Če se pri pomanjkanju kadra v zdravstvu, oskrbi in občinski upravi zanašamo izključno na iskanje novih ljudi (lokalno ali s tujo delovno silo), namesto da vzporedno vlagamo v digitalizacijo in optimizacijo procesov: čez 5 let (2031) se čakalne dobe in administrativne obremenitve verjetno še povečajo; čez 10 let (2036) postane pomanjkanje kadra v dolgotrajni oskrbi strukturno, ne le začasno, ker generacij, ki bi zapolnile vrzel, na trgu dela enostavno ne bo dovolj; čez 25 let (2051), ko bo delež 65+ v Sloveniji blizu tretjine, bo cena zamujene digitalizacije večja, kot bi bila cena investicije danes, ker bo treba graditi sisteme sredi krize namesto vnaprej.</w:t>
      </w:r>
    </w:p>
    <w:p>
      <w:r>
        <w:br w:type="page"/>
      </w:r>
    </w:p>
    <w:p>
      <w:pPr>
        <w:pStyle w:val="Heading1"/>
        <w:pBdr>
          <w:bottom w:val="single" w:color="0F3D3E" w:sz="8" w:space="4"/>
        </w:pBdr>
        <w:spacing w:after="200" w:before="480"/>
      </w:pPr>
      <w:r>
        <w:rPr>
          <w:b/>
          <w:bCs/>
          <w:color w:val="0F3D3E"/>
          <w:sz w:val="30"/>
          <w:szCs w:val="30"/>
        </w:rPr>
        <w:t xml:space="preserve">8. Stanovanja</w:t>
      </w:r>
    </w:p>
    <w:p>
      <w:pPr>
        <w:spacing w:after="140" w:line="288"/>
      </w:pPr>
      <w:r>
        <w:rPr>
          <w:sz w:val="21"/>
          <w:szCs w:val="21"/>
        </w:rPr>
        <w:t xml:space="preserve">Stanovanjsko politiko obravnavamo kot demografsko infrastrukturo, ne le kot socialno vprašanje: to, ali si mladi v Slovenski Istri lahko privoščijo bivanje, neposredno vpliva na osamosvajanje, partnerstvo, čas prvega otroka in odločitev za ostanek ali odselitev.</w:t>
      </w:r>
    </w:p>
    <w:p>
      <w:pPr>
        <w:pStyle w:val="Heading2"/>
        <w:spacing w:after="140" w:before="320"/>
      </w:pPr>
      <w:r>
        <w:rPr>
          <w:b/>
          <w:bCs/>
          <w:color w:val="146C74"/>
          <w:sz w:val="25"/>
          <w:szCs w:val="25"/>
        </w:rPr>
        <w:t xml:space="preserve">8.1 Stanovanjski paradoks</w:t>
      </w:r>
    </w:p>
    <w:p>
      <w:pPr>
        <w:spacing w:after="120" w:line="288"/>
      </w:pPr>
      <w:r>
        <w:rPr>
          <w:b/>
          <w:bCs/>
          <w:color w:val="9A6B00"/>
          <w:sz w:val="21"/>
          <w:szCs w:val="21"/>
        </w:rPr>
        <w:t xml:space="preserve">[HIPOTEZA] </w:t>
      </w:r>
      <w:r>
        <w:rPr>
          <w:sz w:val="21"/>
          <w:szCs w:val="21"/>
        </w:rPr>
        <w:t xml:space="preserve">Slovenska Istra ima hkrati prazna oziroma sekundarna stanovanja, visoke cene stanovanj in ljudi, ki ne morejo rešiti stanovanjskega vprašanja. Na seji regionalnega prostorskega plana 14. maja 2026 so predstavniki regije med izzivi izrecno navedli protislovje: prazna vaška jedra ob hkratnem pomanjkanju stanovanj.</w:t>
      </w:r>
    </w:p>
    <w:p>
      <w:pPr>
        <w:spacing w:after="220"/>
      </w:pPr>
      <w:r>
        <w:rPr>
          <w:i/>
          <w:iCs/>
          <w:color w:val="595959"/>
          <w:sz w:val="18"/>
          <w:szCs w:val="18"/>
        </w:rPr>
        <w:t xml:space="preserve">Vir: Regionalni razvojni center Koper, gradivo Regionalnega prostorskega plana Obalno-Kraške razvojne regije (14. 5. 2026)</w:t>
      </w:r>
    </w:p>
    <w:p>
      <w:pPr>
        <w:pStyle w:val="Heading2"/>
        <w:spacing w:after="140" w:before="320"/>
      </w:pPr>
      <w:r>
        <w:rPr>
          <w:b/>
          <w:bCs/>
          <w:color w:val="146C74"/>
          <w:sz w:val="25"/>
          <w:szCs w:val="25"/>
        </w:rPr>
        <w:t xml:space="preserve">8.2 Stanje po občinah</w:t>
      </w:r>
    </w:p>
    <w:p>
      <w:pPr>
        <w:pStyle w:val="Heading3"/>
        <w:spacing w:after="100" w:before="220"/>
      </w:pPr>
      <w:r>
        <w:rPr>
          <w:b/>
          <w:bCs/>
          <w:i/>
          <w:iCs/>
          <w:color w:val="8C6D31"/>
          <w:sz w:val="22"/>
          <w:szCs w:val="22"/>
        </w:rPr>
        <w:t xml:space="preserve">Koper</w:t>
      </w:r>
    </w:p>
    <w:p>
      <w:pPr>
        <w:spacing w:after="140" w:line="288"/>
      </w:pPr>
      <w:r>
        <w:rPr>
          <w:sz w:val="21"/>
          <w:szCs w:val="21"/>
        </w:rPr>
        <w:t xml:space="preserve">Koper od leta 2007 izplačuje enkratno denarno pomoč ob rojstvu otroka. Leta 2024 je bila odprta Nova Dolinska s 75 javnimi najemnimi stanovanji, namenjenimi prebivalcem Kopra in Ankarana. Junija 2026 je Mestna občina Koper skupaj z Univerzo na Primorskem, ZRS Koper, Luko Koper, Primorsko gospodarsko zbornico in drugimi deležniki na javni tribuni podprla razvojne usmeritve do 2050 z izrecno omembo demografske vitalnosti kot enega treh osrednjih ciljev, ob štirih razvojnih stebrih: logistika, modra ekonomija, srebrna ekonomija ter trajnostno kmetijstvo in turizem.</w:t>
      </w:r>
    </w:p>
    <w:p>
      <w:pPr>
        <w:spacing w:after="220"/>
      </w:pPr>
      <w:r>
        <w:rPr>
          <w:i/>
          <w:iCs/>
          <w:color w:val="595959"/>
          <w:sz w:val="18"/>
          <w:szCs w:val="18"/>
        </w:rPr>
        <w:t xml:space="preserve">Vir: Mestna občina Koper (2024); ZRS Koper, novica (junij 2026)</w:t>
      </w:r>
    </w:p>
    <w:p>
      <w:pPr>
        <w:pStyle w:val="Heading3"/>
        <w:spacing w:after="100" w:before="220"/>
      </w:pPr>
      <w:r>
        <w:rPr>
          <w:b/>
          <w:bCs/>
          <w:i/>
          <w:iCs/>
          <w:color w:val="8C6D31"/>
          <w:sz w:val="22"/>
          <w:szCs w:val="22"/>
        </w:rPr>
        <w:t xml:space="preserve">Izola</w:t>
      </w:r>
    </w:p>
    <w:p>
      <w:pPr>
        <w:spacing w:after="140" w:line="288"/>
      </w:pPr>
      <w:r>
        <w:rPr>
          <w:sz w:val="21"/>
          <w:szCs w:val="21"/>
        </w:rPr>
        <w:t xml:space="preserve">Izola je novembra 2025 sprejela poseben pravilnik za najemna stanovanja mladih in mladih družin, z izrecno navedenim namenom ustvarjati pogoje za oblikovanje družine ob problemu visokih lokalnih cen stanovanj. Marca 2026 je ponudila prvih 11 stanovanj, prispelo pa je 41 vlog. Vzporedno pripravlja nov dom starejših v Livadah s predvideno kapaciteto okoli 150 postelj, ki je leta 2025 prešel skozi arhitekturni natečaj.</w:t>
      </w:r>
    </w:p>
    <w:p>
      <w:pPr>
        <w:spacing w:after="220"/>
      </w:pPr>
      <w:r>
        <w:rPr>
          <w:i/>
          <w:iCs/>
          <w:color w:val="595959"/>
          <w:sz w:val="18"/>
          <w:szCs w:val="18"/>
        </w:rPr>
        <w:t xml:space="preserve">Vir: Občina Izola (2025–2026)</w:t>
      </w:r>
    </w:p>
    <w:p>
      <w:pPr>
        <w:pStyle w:val="Heading3"/>
        <w:spacing w:after="100" w:before="220"/>
      </w:pPr>
      <w:r>
        <w:rPr>
          <w:b/>
          <w:bCs/>
          <w:i/>
          <w:iCs/>
          <w:color w:val="8C6D31"/>
          <w:sz w:val="22"/>
          <w:szCs w:val="22"/>
        </w:rPr>
        <w:t xml:space="preserve">Piran</w:t>
      </w:r>
    </w:p>
    <w:p>
      <w:pPr>
        <w:spacing w:after="140" w:line="288"/>
      </w:pPr>
      <w:r>
        <w:rPr>
          <w:sz w:val="21"/>
          <w:szCs w:val="21"/>
        </w:rPr>
        <w:t xml:space="preserve">Piran je od leta 2018 uporabljal enkratno pomoč ob rojstvu (250 EUR od 2020, 43 izplačil v prvem polletju 2020) z izrecno navedenim ciljem 'spodbujanje rodnosti' — dokazuje obstoj ukrepa, ne njegovega učinka na rodnost. Februarja 2026 je občinski svet soglasno podprl prodajo zemljišč na Košti Stanovanjskemu skladu RS za gradnjo najmanj 60 javnih najemnih stanovanj. Načrti za dodatnih 120 stanovanj na Kampolinu so bili predmet pravnih in političnih sporov, zato jih ne štejemo kot zagotovljeno ponudbo. Julija 2026 je občinski svet obravnaval poročilo nadzornega odbora o izvajanju stanovanjske politike v letih 2022–2023.</w:t>
      </w:r>
    </w:p>
    <w:p>
      <w:pPr>
        <w:spacing w:after="220"/>
      </w:pPr>
      <w:r>
        <w:rPr>
          <w:i/>
          <w:iCs/>
          <w:color w:val="595959"/>
          <w:sz w:val="18"/>
          <w:szCs w:val="18"/>
        </w:rPr>
        <w:t xml:space="preserve">Vir: Občina Piran (2020–2026); Primorske novice (2026)</w:t>
      </w:r>
    </w:p>
    <w:p>
      <w:pPr>
        <w:pStyle w:val="Heading3"/>
        <w:spacing w:after="100" w:before="220"/>
      </w:pPr>
      <w:r>
        <w:rPr>
          <w:b/>
          <w:bCs/>
          <w:i/>
          <w:iCs/>
          <w:color w:val="8C6D31"/>
          <w:sz w:val="22"/>
          <w:szCs w:val="22"/>
        </w:rPr>
        <w:t xml:space="preserve">Ankaran</w:t>
      </w:r>
    </w:p>
    <w:p>
      <w:pPr>
        <w:spacing w:after="140" w:line="288"/>
      </w:pPr>
      <w:r>
        <w:rPr>
          <w:sz w:val="21"/>
          <w:szCs w:val="21"/>
        </w:rPr>
        <w:t xml:space="preserve">Ankaran izplačuje pomoč ob rojstvu ali posvojitvi v višini 500 EUR. Občinski prostorski načrt iz leta 2020 določa dve območji za stanovanjske soseske za mlade; projekt Dolge njive se pripravlja od leta 2022 z izrecnim ciljem spodbujanja priseljevanja mlajših generacij.</w:t>
      </w:r>
    </w:p>
    <w:p>
      <w:pPr>
        <w:spacing w:after="220"/>
      </w:pPr>
      <w:r>
        <w:rPr>
          <w:i/>
          <w:iCs/>
          <w:color w:val="595959"/>
          <w:sz w:val="18"/>
          <w:szCs w:val="18"/>
        </w:rPr>
        <w:t xml:space="preserve">Vir: Občina Ankaran (2014–2022)</w:t>
      </w:r>
    </w:p>
    <w:p>
      <w:pPr>
        <w:pStyle w:val="Heading2"/>
        <w:spacing w:after="140" w:before="320"/>
      </w:pPr>
      <w:r>
        <w:rPr>
          <w:b/>
          <w:bCs/>
          <w:color w:val="146C74"/>
          <w:sz w:val="25"/>
          <w:szCs w:val="25"/>
        </w:rPr>
        <w:t xml:space="preserve">8.3 Kratkotrajno oddajanje in nova državna regulacija</w:t>
      </w:r>
    </w:p>
    <w:p>
      <w:pPr>
        <w:spacing w:after="120" w:line="288"/>
      </w:pPr>
      <w:r>
        <w:rPr>
          <w:b/>
          <w:bCs/>
          <w:color w:val="1B6E30"/>
          <w:sz w:val="21"/>
          <w:szCs w:val="21"/>
        </w:rPr>
        <w:t>[DEJSTVO] Vlada je s sklepom (objavljenim 8. maja 2026) med 14 slovenskih občin z visokim tveganjem negativnih vplivov kratkotrajnega oddajanja stanovanj uvrstila vse štiri istrske občine — Koper, Izolo, Piran in Ankaran — poleg desetih gorenjskih/alpskih in Ljubljane. Merilo je bila kombinacija nadpovprečne nedostopnosti stanovanj in nadpovprečne turistične aktivnosti v stanovanjskih enotah (podatki 2024/2025).</w:t>
      </w:r>
      <w:r>
        <w:rPr>
          <w:sz w:val="21"/>
          <w:szCs w:val="21"/>
        </w:rPr>
      </w:r>
    </w:p>
    <w:p>
      <w:pPr>
        <w:spacing w:after="220"/>
      </w:pPr>
      <w:r>
        <w:rPr>
          <w:i/>
          <w:iCs/>
          <w:color w:val="595959"/>
          <w:sz w:val="18"/>
          <w:szCs w:val="18"/>
        </w:rPr>
        <w:t xml:space="preserve">Vir: Skupnost občin Slovenije; 24ur.com (22. 8. 2026)</w:t>
      </w:r>
    </w:p>
    <w:p>
      <w:pPr>
        <w:pStyle w:val="ListParagraph"/>
        <w:numPr>
          <w:ilvl w:val="0"/>
          <w:numId w:val="1"/>
        </w:numPr>
        <w:spacing w:after="80" w:line="276"/>
      </w:pPr>
      <w:r>
        <w:rPr>
          <w:sz w:val="21"/>
          <w:szCs w:val="21"/>
        </w:rPr>
        <w:t xml:space="preserve">Privzeta omejitev za leti 2027 in 2028: največ 60 dni kratkotrajnega oddajanja na leto.</w:t>
      </w:r>
    </w:p>
    <w:p>
      <w:pPr>
        <w:pStyle w:val="ListParagraph"/>
        <w:numPr>
          <w:ilvl w:val="0"/>
          <w:numId w:val="1"/>
        </w:numPr>
        <w:spacing w:after="80" w:line="276"/>
      </w:pPr>
      <w:r>
        <w:rPr>
          <w:sz w:val="21"/>
          <w:szCs w:val="21"/>
        </w:rPr>
        <w:t xml:space="preserve">Občine lahko s svojim splošnim aktom to omejitev prilagodijo med 30 in 270 dni letno.</w:t>
      </w:r>
    </w:p>
    <w:p>
      <w:pPr>
        <w:pStyle w:val="ListParagraph"/>
        <w:numPr>
          <w:ilvl w:val="0"/>
          <w:numId w:val="1"/>
        </w:numPr>
        <w:spacing w:after="80" w:line="276"/>
      </w:pPr>
      <w:r>
        <w:rPr>
          <w:sz w:val="21"/>
          <w:szCs w:val="21"/>
        </w:rPr>
        <w:t xml:space="preserve">Rok za sprejetje občinskega akta, če želi občina odstopiti od privzete omejitve za leto 2027: 31. oktober 2026.</w:t>
      </w:r>
    </w:p>
    <w:p>
      <w:pPr>
        <w:spacing w:after="120" w:line="288"/>
      </w:pPr>
      <w:r>
        <w:rPr>
          <w:b/>
          <w:bCs/>
          <w:color w:val="7A2E8A"/>
          <w:sz w:val="21"/>
          <w:szCs w:val="21"/>
        </w:rPr>
        <w:t xml:space="preserve">[PREDLOG] </w:t>
      </w:r>
      <w:r>
        <w:rPr>
          <w:sz w:val="21"/>
          <w:szCs w:val="21"/>
        </w:rPr>
        <w:t xml:space="preserve">Vse štiri občine naj svojo odločitev o dnevni omejitvi usklajujejo regionalno, ne vsaka zase — različne omejitve med sosednjimi občinami (npr. Koper 60 dni, Piran 120 dni) bi lahko preprosto preusmerile pritisk kratkotrajnega oddajanja iz ene občine v sosednjo, ne da bi rešile temeljni problem.</w:t>
      </w:r>
    </w:p>
    <w:p>
      <w:pPr>
        <w:pStyle w:val="Heading2"/>
        <w:spacing w:after="140" w:before="320"/>
      </w:pPr>
      <w:r>
        <w:rPr>
          <w:b/>
          <w:bCs/>
          <w:color w:val="146C74"/>
          <w:sz w:val="25"/>
          <w:szCs w:val="25"/>
        </w:rPr>
        <w:t xml:space="preserve">8.4 Raziskovalna veriga (ne dokazana trditev)</w:t>
      </w:r>
    </w:p>
    <w:p>
      <w:pPr>
        <w:spacing w:after="120" w:line="288"/>
      </w:pPr>
      <w:r>
        <w:rPr>
          <w:b/>
          <w:bCs/>
          <w:color w:val="9A6B00"/>
          <w:sz w:val="21"/>
          <w:szCs w:val="21"/>
        </w:rPr>
        <w:t xml:space="preserve">[HIPOTEZA] </w:t>
      </w:r>
      <w:r>
        <w:rPr>
          <w:sz w:val="21"/>
          <w:szCs w:val="21"/>
        </w:rPr>
        <w:t xml:space="preserve">Turistična privlačnost → kratkotrajno oddajanje / sekundarna stanovanja → razpoložljivost in cena dolgoročnih stanovanj → možnosti osamosvojitve mladih → migracijske odločitve → čas oblikovanja partnerstva in rojstva prvega otroka. Trditev 'Airbnb povzroča nizko rodnost' ni dokazana in je ne uporabljamo — gre za merljivo verigo hipotez, ki jo je treba testirati po posameznih členih, ne sprejeti kot že dokazano.</w:t>
      </w:r>
    </w:p>
    <w:p>
      <w:pPr>
        <w:pStyle w:val="Heading2"/>
        <w:spacing w:after="140" w:before="320"/>
      </w:pPr>
      <w:r>
        <w:rPr>
          <w:b/>
          <w:bCs/>
          <w:color w:val="146C74"/>
          <w:sz w:val="25"/>
          <w:szCs w:val="25"/>
        </w:rPr>
        <w:t xml:space="preserve">8.5 Cena neukrepanja</w:t>
      </w:r>
    </w:p>
    <w:p>
      <w:pPr>
        <w:spacing w:after="120" w:line="288"/>
      </w:pPr>
      <w:r>
        <w:rPr>
          <w:b/>
          <w:bCs/>
          <w:color w:val="A32020"/>
          <w:sz w:val="21"/>
          <w:szCs w:val="21"/>
        </w:rPr>
        <w:t xml:space="preserve">[NEUKREPANJE] </w:t>
      </w:r>
      <w:r>
        <w:rPr>
          <w:sz w:val="21"/>
          <w:szCs w:val="21"/>
        </w:rPr>
        <w:t xml:space="preserve">Če Slovenska Istra do 31. oktobra 2026 sprejme štiri neusklajene odločitve o kratkotrajnem oddajanju in vzporedno ne pospeši javne najemne ponudbe: čez 5 let (2031) ostaja stanovanjska nedostopnost enaka ali slabša, mladi se še naprej selijo v cenejše zaledje ali izven regije; čez 10 let (2036) se generacija, ki bi danes ustanovila družino v Istri, že preseli drugam in je te odločitve praktično ni več mogoče razveljaviti; čez 25 let (2051) manjkajo cele kohorte delovno aktivnega prebivalstva, ki bi morale danes vzdrževati zdravstvo, oskrbo in gospodarstvo regije.</w:t>
      </w:r>
    </w:p>
    <w:p>
      <w:r>
        <w:br w:type="page"/>
      </w:r>
    </w:p>
    <w:p>
      <w:pPr>
        <w:pStyle w:val="Heading1"/>
        <w:pBdr>
          <w:bottom w:val="single" w:color="0F3D3E" w:sz="8" w:space="4"/>
        </w:pBdr>
        <w:spacing w:after="200" w:before="480"/>
      </w:pPr>
      <w:r>
        <w:rPr>
          <w:b/>
          <w:bCs/>
          <w:color w:val="0F3D3E"/>
          <w:sz w:val="30"/>
          <w:szCs w:val="30"/>
        </w:rPr>
        <w:t xml:space="preserve">9. Hrana in prehranska odpornost</w:t>
      </w:r>
    </w:p>
    <w:p>
      <w:pPr>
        <w:spacing w:after="140" w:line="288"/>
      </w:pPr>
      <w:r>
        <w:rPr>
          <w:sz w:val="21"/>
          <w:szCs w:val="21"/>
        </w:rPr>
        <w:t xml:space="preserve">Cilj prehranske odpornosti ni, da Slovenska Istra sama pridela vso hrano, ki jo porabi, temveč da zmanjša kritično odvisnost od enega samega zunanjega vira in poveča število alternativ, ki omogočajo normalno delovanje ob motnjah v dobavnih verigah.</w:t>
      </w:r>
    </w:p>
    <w:p>
      <w:pPr>
        <w:pStyle w:val="Heading2"/>
        <w:spacing w:after="140" w:before="320"/>
      </w:pPr>
      <w:r>
        <w:rPr>
          <w:b/>
          <w:bCs/>
          <w:color w:val="146C74"/>
          <w:sz w:val="25"/>
          <w:szCs w:val="25"/>
        </w:rPr>
        <w:t xml:space="preserve">9.1 Kaj vemo in česa ne</w:t>
      </w:r>
    </w:p>
    <w:p>
      <w:pPr>
        <w:spacing w:after="120" w:line="288"/>
      </w:pPr>
      <w:r>
        <w:rPr>
          <w:b/>
          <w:bCs/>
          <w:color w:val="595959"/>
          <w:sz w:val="21"/>
          <w:szCs w:val="21"/>
        </w:rPr>
        <w:t xml:space="preserve">[PODATEK NI NA VOLJO] </w:t>
      </w:r>
      <w:r>
        <w:rPr>
          <w:sz w:val="21"/>
          <w:szCs w:val="21"/>
        </w:rPr>
        <w:t xml:space="preserve">V okviru tega pregleda nismo pridobili ažurnih, občinsko razčlenjenih podatkov o površinah pod oljčniki, vinogradi in zelenjadarsko pridelavo za Koper, Izolo, Piran in Ankaran. Kmetijski inštitut Slovenije letno objavlja publikacijo 'Slovensko kmetijstvo v številkah', ki vsebuje regionalne podatke — IDP naj jo pridobi in razčleni za naslednjo fazo raziskave, namesto da bi ocenjevali številke brez vira.</w:t>
      </w:r>
    </w:p>
    <w:p>
      <w:pPr>
        <w:spacing w:after="220"/>
      </w:pPr>
      <w:r>
        <w:rPr>
          <w:i/>
          <w:iCs/>
          <w:color w:val="595959"/>
          <w:sz w:val="18"/>
          <w:szCs w:val="18"/>
        </w:rPr>
        <w:t xml:space="preserve">Vir: Kmetijski inštitut Slovenije, Slovensko kmetijstvo v številkah (letna publikacija)</w:t>
      </w:r>
    </w:p>
    <w:p>
      <w:pPr>
        <w:pStyle w:val="Heading2"/>
        <w:spacing w:after="140" w:before="320"/>
      </w:pPr>
      <w:r>
        <w:rPr>
          <w:b/>
          <w:bCs/>
          <w:color w:val="146C74"/>
          <w:sz w:val="25"/>
          <w:szCs w:val="25"/>
        </w:rPr>
        <w:t xml:space="preserve">9.2 Predlagan program: Istrska prehranska odpornost</w:t>
      </w:r>
    </w:p>
    <w:p>
      <w:pPr>
        <w:spacing w:after="140" w:line="288"/>
      </w:pPr>
      <w:r>
        <w:rPr>
          <w:sz w:val="21"/>
          <w:szCs w:val="21"/>
        </w:rPr>
        <w:t xml:space="preserve">Program bi po zgledu Izhodišča IDP vključeval: identifikacijo kakovostnih kmetijskih zemljišč in njihovo zaščito pred pozidavo, mikro- in skupnostne vrtove, oljkarstvo, sadjarstvo, zelenjadarstvo, rastlinjake, lokalno semensko banko ter neposredno povezavo lokalnih pridelovalcev s šolami, vrtci, bolnišnico in domovi starejših.</w:t>
      </w:r>
    </w:p>
    <w:p>
      <w:pPr>
        <w:spacing w:after="120" w:line="288"/>
      </w:pPr>
      <w:r>
        <w:rPr>
          <w:b/>
          <w:bCs/>
          <w:color w:val="7A2E8A"/>
          <w:sz w:val="21"/>
          <w:szCs w:val="21"/>
        </w:rPr>
        <w:t xml:space="preserve">[PREDLOG] </w:t>
      </w:r>
      <w:r>
        <w:rPr>
          <w:sz w:val="21"/>
          <w:szCs w:val="21"/>
        </w:rPr>
        <w:t xml:space="preserve">Regionalni prostorski plan Obalno-Kraške razvojne regije, ki je bil v javni obravnavi med 20. junijem in 31. julijem 2026, je naravna priložnost, da se zaščita kmetijskih zemljišč Slovenske Istre pred pozidavo formalno vključi v prostorski akt — to je časovno okno, ki se po sprejetju plana ne bo kmalu ponovilo.</w:t>
      </w:r>
    </w:p>
    <w:p>
      <w:pPr>
        <w:spacing w:after="220"/>
      </w:pPr>
      <w:r>
        <w:rPr>
          <w:i/>
          <w:iCs/>
          <w:color w:val="595959"/>
          <w:sz w:val="18"/>
          <w:szCs w:val="18"/>
        </w:rPr>
        <w:t xml:space="preserve">Vir: Regionalni razvojni center Koper (2026)</w:t>
      </w:r>
    </w:p>
    <w:p>
      <w:pPr>
        <w:pStyle w:val="Heading2"/>
        <w:spacing w:after="140" w:before="320"/>
      </w:pPr>
      <w:r>
        <w:rPr>
          <w:b/>
          <w:bCs/>
          <w:color w:val="146C74"/>
          <w:sz w:val="25"/>
          <w:szCs w:val="25"/>
        </w:rPr>
        <w:t xml:space="preserve">9.3 Regionalno kompostiranje</w:t>
      </w:r>
    </w:p>
    <w:p>
      <w:pPr>
        <w:spacing w:after="140" w:line="288"/>
      </w:pPr>
      <w:r>
        <w:rPr>
          <w:sz w:val="21"/>
          <w:szCs w:val="21"/>
        </w:rPr>
        <w:t xml:space="preserve">Model: bioodpadki → kompost → rodovitnost → lokalna proizvodnja hrane. Organizirano regionalno kompostiranje bi lahko povezovalo gospodinjstva, gostinstvo, hotele, komunalna podjetja in kmetovalce štirih občin. Sistem mora biti strokovno zasnovan zaradi tveganj patogenov, onesnaževal in mikroplastike v vhodnem materialu — to ni podrobnost, temveč pogoj za varnost sistema.</w:t>
      </w:r>
    </w:p>
    <w:p>
      <w:pPr>
        <w:spacing w:after="120" w:line="288"/>
      </w:pPr>
      <w:r>
        <w:rPr>
          <w:b/>
          <w:bCs/>
          <w:color w:val="7A2E8A"/>
          <w:sz w:val="21"/>
          <w:szCs w:val="21"/>
        </w:rPr>
        <w:t xml:space="preserve">[PREDLOG] </w:t>
      </w:r>
      <w:r>
        <w:rPr>
          <w:sz w:val="21"/>
          <w:szCs w:val="21"/>
        </w:rPr>
        <w:t xml:space="preserve">Pred uvedbo regionalnega kompostiranja naj IDP naroči strokovno oceno stroškov, varnostnih standardov in kapacitet obstoječih komunalnih podjetij (Marjetica Koper, Komunala Izola, Okolje Piran) — brez tega je predlog samo ideja, ne izvedljiv projekt.</w:t>
      </w:r>
    </w:p>
    <w:p>
      <w:r>
        <w:br w:type="page"/>
      </w:r>
    </w:p>
    <w:p>
      <w:pPr>
        <w:pStyle w:val="Heading1"/>
        <w:pBdr>
          <w:bottom w:val="single" w:color="0F3D3E" w:sz="8" w:space="4"/>
        </w:pBdr>
        <w:spacing w:after="200" w:before="480"/>
      </w:pPr>
      <w:r>
        <w:rPr>
          <w:b/>
          <w:bCs/>
          <w:color w:val="0F3D3E"/>
          <w:sz w:val="30"/>
          <w:szCs w:val="30"/>
        </w:rPr>
        <w:t xml:space="preserve">10. Energija</w:t>
      </w:r>
    </w:p>
    <w:p>
      <w:pPr>
        <w:spacing w:after="140" w:line="288"/>
      </w:pPr>
      <w:r>
        <w:rPr>
          <w:sz w:val="21"/>
          <w:szCs w:val="21"/>
        </w:rPr>
        <w:t xml:space="preserve">Ne trdimo, da je lokalno proizvedena energija vedno cenejša od omrežne. Pravilna teza je: diverzifikacija virov energije zmanjšuje izpostavljenost zunanjim cenovnim in dobavnim šokom, ne glede na to, ali je posamezen lokalni vir v danem trenutku cenejši ali dražji od tržne cene.</w:t>
      </w:r>
    </w:p>
    <w:p>
      <w:pPr>
        <w:pStyle w:val="Heading2"/>
        <w:spacing w:after="140" w:before="320"/>
      </w:pPr>
      <w:r>
        <w:rPr>
          <w:b/>
          <w:bCs/>
          <w:color w:val="146C74"/>
          <w:sz w:val="25"/>
          <w:szCs w:val="25"/>
        </w:rPr>
        <w:t xml:space="preserve">10.1 Zakonski okvir energetskih skupnosti</w:t>
      </w:r>
    </w:p>
    <w:p>
      <w:pPr>
        <w:spacing w:after="120" w:line="288"/>
      </w:pPr>
      <w:r>
        <w:rPr>
          <w:b/>
          <w:bCs/>
          <w:color w:val="1B6E30"/>
          <w:sz w:val="21"/>
          <w:szCs w:val="21"/>
        </w:rPr>
        <w:t xml:space="preserve">[DEJSTVO] </w:t>
      </w:r>
      <w:r>
        <w:rPr>
          <w:sz w:val="21"/>
          <w:szCs w:val="21"/>
        </w:rPr>
        <w:t xml:space="preserve">Slovenija je energetske in lokalne energetske skupnosti uredila v Energetskem zakonu (EZ-2, Uradni list RS, 2024) in Zakonu o oskrbi z električno energijo (ZOEE), ki prenašata evropski okvir za skupnosti državljanov in obnovljive vire energije.</w:t>
      </w:r>
    </w:p>
    <w:p>
      <w:pPr>
        <w:spacing w:after="220"/>
      </w:pPr>
      <w:r>
        <w:rPr>
          <w:i/>
          <w:iCs/>
          <w:color w:val="595959"/>
          <w:sz w:val="18"/>
          <w:szCs w:val="18"/>
        </w:rPr>
        <w:t xml:space="preserve">Vir: Uradni list RS 1288/2024 (EZ-2); Pravno-informacijski sistem RS, ZOEE</w:t>
      </w:r>
    </w:p>
    <w:p>
      <w:pPr>
        <w:spacing w:after="140" w:line="288"/>
      </w:pPr>
      <w:r>
        <w:rPr>
          <w:sz w:val="21"/>
          <w:szCs w:val="21"/>
        </w:rPr>
        <w:t xml:space="preserve">Koper in Divača sta v medijskem poročanju (regionalobala.si) navedena kot primer dobre prakse postavljanja sončnih elektrarn na degradirana območja in strehe, kar kaže, da regija zakonski okvir energetskih skupnosti že delno uporablja, čeprav uradnega konsolidiranega projekta 'Energetske skupnosti Slovenske Istre' na dan pregleda nismo našli.</w:t>
      </w:r>
    </w:p>
    <w:p>
      <w:pPr>
        <w:spacing w:after="220"/>
      </w:pPr>
      <w:r>
        <w:rPr>
          <w:i/>
          <w:iCs/>
          <w:color w:val="595959"/>
          <w:sz w:val="18"/>
          <w:szCs w:val="18"/>
        </w:rPr>
        <w:t xml:space="preserve">Vir: regionalobala.si (2026)</w:t>
      </w:r>
    </w:p>
    <w:p>
      <w:pPr>
        <w:pStyle w:val="Heading2"/>
        <w:spacing w:after="140" w:before="320"/>
      </w:pPr>
      <w:r>
        <w:rPr>
          <w:b/>
          <w:bCs/>
          <w:color w:val="146C74"/>
          <w:sz w:val="25"/>
          <w:szCs w:val="25"/>
        </w:rPr>
        <w:t xml:space="preserve">10.2 Predlog: Istrska energetska skupnost</w:t>
      </w:r>
    </w:p>
    <w:p>
      <w:pPr>
        <w:spacing w:after="120" w:line="288"/>
      </w:pPr>
      <w:r>
        <w:rPr>
          <w:b/>
          <w:bCs/>
          <w:color w:val="7A2E8A"/>
          <w:sz w:val="21"/>
          <w:szCs w:val="21"/>
        </w:rPr>
        <w:t xml:space="preserve">[PREDLOG] </w:t>
      </w:r>
      <w:r>
        <w:rPr>
          <w:sz w:val="21"/>
          <w:szCs w:val="21"/>
        </w:rPr>
        <w:t xml:space="preserve">IDP predlaga, da štiri občine skupaj z zainteresiranimi podjetji, hoteli, šolami in zdravstvenimi ustanovami preučijo vzpostavitev regionalne energetske skupnosti, ki bi združevala mikroproizvodnjo sončne energije, baterijske hranilnike, upravljanje porabe in energetsko izmenjavo med člani. To je predlog za nadaljnjo izvedljivostno študijo, ne že izveden projekt.</w:t>
      </w:r>
    </w:p>
    <w:p>
      <w:pPr>
        <w:pStyle w:val="ListParagraph"/>
        <w:numPr>
          <w:ilvl w:val="0"/>
          <w:numId w:val="1"/>
        </w:numPr>
        <w:spacing w:after="80" w:line="276"/>
      </w:pPr>
      <w:r>
        <w:rPr>
          <w:sz w:val="21"/>
          <w:szCs w:val="21"/>
        </w:rPr>
        <w:t xml:space="preserve">Sončna energija na strehah in degradiranih površinah (Koper, Divača — obstoječa dobra praksa).</w:t>
      </w:r>
    </w:p>
    <w:p>
      <w:pPr>
        <w:pStyle w:val="ListParagraph"/>
        <w:numPr>
          <w:ilvl w:val="0"/>
          <w:numId w:val="1"/>
        </w:numPr>
        <w:spacing w:after="80" w:line="276"/>
      </w:pPr>
      <w:r>
        <w:rPr>
          <w:sz w:val="21"/>
          <w:szCs w:val="21"/>
        </w:rPr>
        <w:t xml:space="preserve">Baterijski hranilniki in upravljanje porabe.</w:t>
      </w:r>
    </w:p>
    <w:p>
      <w:pPr>
        <w:pStyle w:val="ListParagraph"/>
        <w:numPr>
          <w:ilvl w:val="0"/>
          <w:numId w:val="1"/>
        </w:numPr>
        <w:spacing w:after="80" w:line="276"/>
      </w:pPr>
      <w:r>
        <w:rPr>
          <w:sz w:val="21"/>
          <w:szCs w:val="21"/>
        </w:rPr>
        <w:t xml:space="preserve">Raziskati je treba tudi geotermijo, odpadno toploto, bioplin, toplotne črpalke in energijo morja, kjer je to tehnično in okoljsko smiselno — vsak od teh virov zahteva ločeno strokovno presojo, ki presega obseg tega dokumenta.</w:t>
      </w:r>
    </w:p>
    <w:p>
      <w:pPr>
        <w:pStyle w:val="Heading2"/>
        <w:spacing w:after="140" w:before="320"/>
      </w:pPr>
      <w:r>
        <w:rPr>
          <w:b/>
          <w:bCs/>
          <w:color w:val="146C74"/>
          <w:sz w:val="25"/>
          <w:szCs w:val="25"/>
        </w:rPr>
        <w:t xml:space="preserve">10.3 Demografski pomen energetske odpornosti</w:t>
      </w:r>
    </w:p>
    <w:p>
      <w:pPr>
        <w:spacing w:after="140" w:line="288"/>
      </w:pPr>
      <w:r>
        <w:rPr>
          <w:sz w:val="21"/>
          <w:szCs w:val="21"/>
        </w:rPr>
        <w:t xml:space="preserve">Manjša energetska ranljivost pomeni nižje in bolj predvidljive stroške gospodinjstev, nižje stroške občinskih storitev ter večjo odpornost starejših prebivalcev ob ekstremnih vremenskih dogodkih (vročinski valovi, izpadi omrežja) — to je neposredna povezava med energetsko politiko in demografskim monoklom (priloga A).</w:t>
      </w:r>
    </w:p>
    <w:p>
      <w:r>
        <w:br w:type="page"/>
      </w:r>
    </w:p>
    <w:p>
      <w:pPr>
        <w:pStyle w:val="Heading1"/>
        <w:pBdr>
          <w:bottom w:val="single" w:color="0F3D3E" w:sz="8" w:space="4"/>
        </w:pBdr>
        <w:spacing w:after="200" w:before="480"/>
      </w:pPr>
      <w:r>
        <w:rPr>
          <w:b/>
          <w:bCs/>
          <w:color w:val="0F3D3E"/>
          <w:sz w:val="30"/>
          <w:szCs w:val="30"/>
        </w:rPr>
        <w:t xml:space="preserve">11. Voda</w:t>
      </w:r>
    </w:p>
    <w:p>
      <w:pPr>
        <w:pBdr>
          <w:left w:val="single" w:color="8C6D31" w:sz="16" w:space="8"/>
        </w:pBdr>
        <w:spacing w:after="200" w:before="100"/>
        <w:ind w:left="400"/>
      </w:pPr>
      <w:r>
        <w:rPr>
          <w:i/>
          <w:iCs/>
          <w:color w:val="0F3D3E"/>
          <w:sz w:val="21"/>
          <w:szCs w:val="21"/>
        </w:rPr>
        <w:t xml:space="preserve">Voda, ki pade na območje, naj se čim dlje zadrži na območju, kjer je to ekološko in hidrološko smiselno.</w:t>
      </w:r>
    </w:p>
    <w:p>
      <w:pPr>
        <w:pStyle w:val="Heading2"/>
        <w:spacing w:after="140" w:before="320"/>
      </w:pPr>
      <w:r>
        <w:rPr>
          <w:b/>
          <w:bCs/>
          <w:color w:val="146C74"/>
          <w:sz w:val="25"/>
          <w:szCs w:val="25"/>
        </w:rPr>
        <w:t xml:space="preserve">11.1 Stanje Rižanskega vodovoda</w:t>
      </w:r>
    </w:p>
    <w:p>
      <w:pPr>
        <w:spacing w:after="120" w:line="288"/>
      </w:pPr>
      <w:r>
        <w:rPr>
          <w:b/>
          <w:bCs/>
          <w:color w:val="1B6E30"/>
          <w:sz w:val="21"/>
          <w:szCs w:val="21"/>
        </w:rPr>
        <w:t xml:space="preserve">[DEJSTVO] </w:t>
      </w:r>
      <w:r>
        <w:rPr>
          <w:sz w:val="21"/>
          <w:szCs w:val="21"/>
        </w:rPr>
        <w:t xml:space="preserve">Rižanski vodovod Koper oskrbuje Slovensko Istro prek sistema dveh čistilnih naprav, štirih vodnih virov in približno 1.000 kilometrov cevovodnega omrežja, pri čemer del vode kupuje od Istrskega in Kraškega vodovoda. Vodni vir Rižane je bil ob zadnjem poročanju (avgust 2026) na minimalni, a stabilni ravni po padavinah na Brkinih.</w:t>
      </w:r>
    </w:p>
    <w:p>
      <w:pPr>
        <w:spacing w:after="220"/>
      </w:pPr>
      <w:r>
        <w:rPr>
          <w:i/>
          <w:iCs/>
          <w:color w:val="595959"/>
          <w:sz w:val="18"/>
          <w:szCs w:val="18"/>
        </w:rPr>
        <w:t xml:space="preserve">Vir: Rižanski vodovod Koper (rvk.si, avgust 2026)</w:t>
      </w:r>
    </w:p>
    <w:p>
      <w:pPr>
        <w:spacing w:after="120" w:line="288"/>
      </w:pPr>
      <w:r>
        <w:rPr>
          <w:b/>
          <w:bCs/>
          <w:color w:val="A32020"/>
          <w:sz w:val="21"/>
          <w:szCs w:val="21"/>
        </w:rPr>
        <w:t xml:space="preserve">[NEUKREPANJE] </w:t>
      </w:r>
      <w:r>
        <w:rPr>
          <w:sz w:val="21"/>
          <w:szCs w:val="21"/>
        </w:rPr>
        <w:t xml:space="preserve">Vodstvo Rižanskega vodovoda samo opozarja, da bi ob še večjem pomanjkanju vode prekinitve dobave postale neizogibne, ter izraža nezadovoljstvo, da država ni razvila novih vodnih virov za Slovensko Istro. To ni hipotetično tveganje, temveč izjava upravljavca sistema — IDP naj to javno izjavo obravnava kot prednostni signal za poglavje o vodni varnosti v prihodnjih dokumentih.</w:t>
      </w:r>
    </w:p>
    <w:p>
      <w:pPr>
        <w:pStyle w:val="Heading2"/>
        <w:spacing w:after="140" w:before="320"/>
      </w:pPr>
      <w:r>
        <w:rPr>
          <w:b/>
          <w:bCs/>
          <w:color w:val="146C74"/>
          <w:sz w:val="25"/>
          <w:szCs w:val="25"/>
        </w:rPr>
        <w:t xml:space="preserve">11.2 Konkurenčne potrebe po vodi</w:t>
      </w:r>
    </w:p>
    <w:p>
      <w:pPr>
        <w:spacing w:after="140" w:line="288"/>
      </w:pPr>
      <w:r>
        <w:rPr>
          <w:sz w:val="21"/>
          <w:szCs w:val="21"/>
        </w:rPr>
        <w:t xml:space="preserve">Vodo v Slovenski Istri hkrati potrebujejo stalno prebivalstvo, turizem (s sezonsko konico porabe, ki sovpada z obdobjem najmanjše razpoložljivosti vira), kmetijstvo in vodni ekosistemi. Kmetje in gojitelji vodnih organizmov so po poročanju rižanskega vodovoda že utrpeli občutno škodo zaradi suše.</w:t>
      </w:r>
    </w:p>
    <w:p>
      <w:pPr>
        <w:pStyle w:val="Heading2"/>
        <w:spacing w:after="140" w:before="320"/>
      </w:pPr>
      <w:r>
        <w:rPr>
          <w:b/>
          <w:bCs/>
          <w:color w:val="146C74"/>
          <w:sz w:val="25"/>
          <w:szCs w:val="25"/>
        </w:rPr>
        <w:t xml:space="preserve">11.3 Ukrepi za povečanje vodne odpornosti</w:t>
      </w:r>
    </w:p>
    <w:p>
      <w:pPr>
        <w:pStyle w:val="ListParagraph"/>
        <w:numPr>
          <w:ilvl w:val="0"/>
          <w:numId w:val="1"/>
        </w:numPr>
        <w:spacing w:after="80" w:line="276"/>
      </w:pPr>
      <w:r>
        <w:rPr>
          <w:sz w:val="21"/>
          <w:szCs w:val="21"/>
        </w:rPr>
        <w:t xml:space="preserve">Zbiranje deževnice na ravni gospodinjstev, javnih stavb in novih stanovanjskih sosesk.</w:t>
      </w:r>
    </w:p>
    <w:p>
      <w:pPr>
        <w:pStyle w:val="ListParagraph"/>
        <w:numPr>
          <w:ilvl w:val="0"/>
          <w:numId w:val="1"/>
        </w:numPr>
        <w:spacing w:after="80" w:line="276"/>
      </w:pPr>
      <w:r>
        <w:rPr>
          <w:sz w:val="21"/>
          <w:szCs w:val="21"/>
        </w:rPr>
        <w:t xml:space="preserve">Ponovna uporaba sive vode, kjer je tehnično izvedljivo.</w:t>
      </w:r>
    </w:p>
    <w:p>
      <w:pPr>
        <w:pStyle w:val="ListParagraph"/>
        <w:numPr>
          <w:ilvl w:val="0"/>
          <w:numId w:val="1"/>
        </w:numPr>
        <w:spacing w:after="80" w:line="276"/>
      </w:pPr>
      <w:r>
        <w:rPr>
          <w:sz w:val="21"/>
          <w:szCs w:val="21"/>
        </w:rPr>
        <w:t xml:space="preserve">Manjši zadrževalniki, ribniki in akumulacije — ob predhodni hidrološki, okoljski in prostorski presoji.</w:t>
      </w:r>
    </w:p>
    <w:p>
      <w:pPr>
        <w:pStyle w:val="ListParagraph"/>
        <w:numPr>
          <w:ilvl w:val="0"/>
          <w:numId w:val="1"/>
        </w:numPr>
        <w:spacing w:after="80" w:line="276"/>
      </w:pPr>
      <w:r>
        <w:rPr>
          <w:sz w:val="21"/>
          <w:szCs w:val="21"/>
        </w:rPr>
        <w:t xml:space="preserve">Obnova mokrišč, kjer je to ekološko smiselno.</w:t>
      </w:r>
    </w:p>
    <w:p>
      <w:pPr>
        <w:pStyle w:val="ListParagraph"/>
        <w:numPr>
          <w:ilvl w:val="0"/>
          <w:numId w:val="1"/>
        </w:numPr>
        <w:spacing w:after="80" w:line="276"/>
      </w:pPr>
      <w:r>
        <w:rPr>
          <w:sz w:val="21"/>
          <w:szCs w:val="21"/>
        </w:rPr>
        <w:t xml:space="preserve">Zmanjševanje izgub v vodovodnem omrežju.</w:t>
      </w:r>
    </w:p>
    <w:p>
      <w:pPr>
        <w:spacing w:after="120" w:line="288"/>
      </w:pPr>
      <w:r>
        <w:rPr>
          <w:b/>
          <w:bCs/>
          <w:color w:val="7A2E8A"/>
          <w:sz w:val="21"/>
          <w:szCs w:val="21"/>
        </w:rPr>
        <w:t xml:space="preserve">[PREDLOG] </w:t>
      </w:r>
      <w:r>
        <w:rPr>
          <w:sz w:val="21"/>
          <w:szCs w:val="21"/>
        </w:rPr>
        <w:t xml:space="preserve">Vodna varnost Slovenske Istre naj postane eksplicitna tema Regionalnega prostorskega plana Obalno-Kraške razvojne regije in prihodnjega Istrskega dogovora o demografski odpornosti 2050 (glej Dokument 2), saj gre za sistem, ki ga nobena od štirih občin ne more zanesljivo upravljati sama.</w:t>
      </w:r>
    </w:p>
    <w:p>
      <w:pPr>
        <w:pStyle w:val="Heading2"/>
        <w:spacing w:after="140" w:before="320"/>
      </w:pPr>
      <w:r>
        <w:rPr>
          <w:b/>
          <w:bCs/>
          <w:color w:val="146C74"/>
          <w:sz w:val="25"/>
          <w:szCs w:val="25"/>
        </w:rPr>
        <w:t xml:space="preserve">11.4 Cena neukrepanja</w:t>
      </w:r>
    </w:p>
    <w:p>
      <w:pPr>
        <w:spacing w:after="120" w:line="288"/>
      </w:pPr>
      <w:r>
        <w:rPr>
          <w:b/>
          <w:bCs/>
          <w:color w:val="A32020"/>
          <w:sz w:val="21"/>
          <w:szCs w:val="21"/>
        </w:rPr>
        <w:t xml:space="preserve">[NEUKREPANJE] </w:t>
      </w:r>
      <w:r>
        <w:rPr>
          <w:sz w:val="21"/>
          <w:szCs w:val="21"/>
        </w:rPr>
        <w:t xml:space="preserve">Če Slovenska Istra ne diverzificira vodnih virov in ne zmanjša izgub v omrežju: čez 5 let (2031) se poletne omejitve porabe verjetno ponavljajo pogosteje; čez 10 let (2036) postane vprašanje vodne oskrbe omejitveni dejavnik za nova stanovanja in gospodarski razvoj, ne le za kmetijstvo; čez 25 let (2051), ob podnebnih spremembah in višji stalni ter turistični porabi, bi lahko vodna negotovost postala eden glavnih razlogov, da si mlade družine ne upajo zgraditi prihodnosti v regiji.</w:t>
      </w:r>
    </w:p>
    <w:p>
      <w:r>
        <w:br w:type="page"/>
      </w:r>
    </w:p>
    <w:p>
      <w:pPr>
        <w:pStyle w:val="Heading1"/>
        <w:pBdr>
          <w:bottom w:val="single" w:color="0F3D3E" w:sz="8" w:space="4"/>
        </w:pBdr>
        <w:spacing w:after="200" w:before="480"/>
      </w:pPr>
      <w:r>
        <w:rPr>
          <w:b/>
          <w:bCs/>
          <w:color w:val="0F3D3E"/>
          <w:sz w:val="30"/>
          <w:szCs w:val="30"/>
        </w:rPr>
        <w:t xml:space="preserve">12. Podnebna odpornost in gradnja</w:t>
      </w:r>
    </w:p>
    <w:p>
      <w:pPr>
        <w:pStyle w:val="Heading2"/>
        <w:spacing w:after="140" w:before="320"/>
      </w:pPr>
      <w:r>
        <w:rPr>
          <w:b/>
          <w:bCs/>
          <w:color w:val="146C74"/>
          <w:sz w:val="25"/>
          <w:szCs w:val="25"/>
        </w:rPr>
        <w:t xml:space="preserve">12.1 Podnebne projekcije za Slovenijo in Primorsko</w:t>
      </w:r>
    </w:p>
    <w:p>
      <w:pPr>
        <w:spacing w:after="120" w:line="288"/>
      </w:pPr>
      <w:r>
        <w:rPr>
          <w:b/>
          <w:bCs/>
          <w:color w:val="1B6E30"/>
          <w:sz w:val="21"/>
          <w:szCs w:val="21"/>
        </w:rPr>
        <w:t xml:space="preserve">[DEJSTVO] </w:t>
      </w:r>
      <w:r>
        <w:rPr>
          <w:sz w:val="21"/>
          <w:szCs w:val="21"/>
        </w:rPr>
        <w:t xml:space="preserve">Po Oceni podnebnih sprememb v Sloveniji do konca 21. stoletja (ARSO) se bo povprečna temperatura po zmernem scenariju RCP4.5 dvignila za približno 2,0 °C, po visokoemisijskem scenariju RCP8.5 pa za približno 4,1 °C. Zimske temperature naraščajo hitreje od letnega povprečja. Število vročih dni (nad 30 °C) naj bi se po RCP8.5 do konca stoletja povečalo tudi za do 60 dni letno, tropske noči (nad 20 °C) pa za 5–60 dni v nižinskih predelih.</w:t>
      </w:r>
    </w:p>
    <w:p>
      <w:pPr>
        <w:spacing w:after="220"/>
      </w:pPr>
      <w:r>
        <w:rPr>
          <w:i/>
          <w:iCs/>
          <w:color w:val="595959"/>
          <w:sz w:val="18"/>
          <w:szCs w:val="18"/>
        </w:rPr>
        <w:t xml:space="preserve">Vir: ARSO, Ocena podnebnih sprememb v Sloveniji do konca 21. stoletja, OPS21 (povzetek)</w:t>
      </w:r>
    </w:p>
    <w:p>
      <w:pPr>
        <w:spacing w:after="140" w:line="288"/>
      </w:pPr>
      <w:r>
        <w:rPr>
          <w:sz w:val="21"/>
          <w:szCs w:val="21"/>
        </w:rPr>
        <w:t xml:space="preserve">Spremembe padavin so po poročilu ARSO precej negotovejše od temperaturnih: po RCP4.5 naj bi se letne padavine do konca stoletja v povprečju povečale za okoli 10 %, predvsem pozimi, medtem ko so poletni signali med podnebnimi modeli nasprotujoči si. Povečana evapotranspiracija (7–12 % do konca stoletja) nakazuje večje tveganje za sušna obdobja, čeprav poročilo za Primorsko izrecno ne navaja ločenih podatkov o suši.</w:t>
      </w:r>
    </w:p>
    <w:p>
      <w:pPr>
        <w:spacing w:after="120" w:line="288"/>
      </w:pPr>
      <w:r>
        <w:rPr>
          <w:b/>
          <w:bCs/>
          <w:color w:val="595959"/>
          <w:sz w:val="21"/>
          <w:szCs w:val="21"/>
        </w:rPr>
        <w:t xml:space="preserve">[PODATEK NI NA VOLJO] </w:t>
      </w:r>
      <w:r>
        <w:rPr>
          <w:sz w:val="21"/>
          <w:szCs w:val="21"/>
        </w:rPr>
        <w:t xml:space="preserve">Ločenih, kvantificiranih projekcij suše in vodnega primanjkljaja posebej za Slovensko Istro v javno dostopnem povzetku ARSO nismo našli. Glede na že opažene poletne omejitve pri Rižanskem vodovodu (poglavje 11) je to prednostna vrzel, ki jo mora IDP nasloviti neposredno pri ARSO.</w:t>
      </w:r>
    </w:p>
    <w:p>
      <w:pPr>
        <w:pStyle w:val="Heading2"/>
        <w:spacing w:after="140" w:before="320"/>
      </w:pPr>
      <w:r>
        <w:rPr>
          <w:b/>
          <w:bCs/>
          <w:color w:val="146C74"/>
          <w:sz w:val="25"/>
          <w:szCs w:val="25"/>
        </w:rPr>
        <w:t xml:space="preserve">12.2 Odporna gradnja — Earthship kot idejni, ne univerzalni model</w:t>
      </w:r>
    </w:p>
    <w:p>
      <w:pPr>
        <w:spacing w:after="140" w:line="288"/>
      </w:pPr>
      <w:r>
        <w:rPr>
          <w:sz w:val="21"/>
          <w:szCs w:val="21"/>
        </w:rPr>
        <w:t xml:space="preserve">Koncept Earthship uporabljamo kot idejni vir načel, ne kot rešitev za dobesedno kopiranje: pasivno ogrevanje in hlajenje, termična masa, senčenje, zbiranje vode, energetska učinkovitost, delna samooskrba in uporaba lokalnih materialov. Za Slovensko Istro predlagamo lastno različico — Istrsko odporno hišo — prilagojeno vročinskim valovom, suši, burji in močnim padavinam.</w:t>
      </w:r>
    </w:p>
    <w:p>
      <w:pPr>
        <w:pStyle w:val="Heading2"/>
        <w:spacing w:after="140" w:before="320"/>
      </w:pPr>
      <w:r>
        <w:rPr>
          <w:b/>
          <w:bCs/>
          <w:color w:val="146C74"/>
          <w:sz w:val="25"/>
          <w:szCs w:val="25"/>
        </w:rPr>
        <w:t xml:space="preserve">12.3 Age-proof housing — stanovanje za 35 in za 85 let</w:t>
      </w:r>
    </w:p>
    <w:p>
      <w:pPr>
        <w:spacing w:after="140" w:line="288"/>
      </w:pPr>
      <w:r>
        <w:rPr>
          <w:sz w:val="21"/>
          <w:szCs w:val="21"/>
        </w:rPr>
        <w:t xml:space="preserve">Načelo age-proof housing: stanovanje mora biti pri 35 letih primerno družini, pri 85 letih pa človeku z zmanjšano mobilnostjo. To v praksi pomeni manj stopnic ali dostopno alternativo, širša vrata, dostopen tuš, prostor za morebitno pomoč, možnost naknadne vgradnje dvigala ter pripravljenost za pametne senzorje in asistivno tehnologijo — načrtovano že v fazi projektiranja, ob razmeroma majhnem dodatnem strošku.</w:t>
      </w:r>
    </w:p>
    <w:p>
      <w:pPr>
        <w:spacing w:after="120" w:line="288"/>
      </w:pPr>
      <w:r>
        <w:rPr>
          <w:b/>
          <w:bCs/>
          <w:color w:val="7A2E8A"/>
          <w:sz w:val="21"/>
          <w:szCs w:val="21"/>
        </w:rPr>
        <w:t xml:space="preserve">[PREDLOG] </w:t>
      </w:r>
      <w:r>
        <w:rPr>
          <w:sz w:val="21"/>
          <w:szCs w:val="21"/>
        </w:rPr>
        <w:t xml:space="preserve">Vsak nov javno sofinanciran stanovanjski projekt v Slovenski Istri (npr. Nova Dolinska, Livade, Košta, Dolge njive) naj pri projektiranju izpolni kratek age-proof kontrolni seznam, ne glede na to, ali je formalno namenjen mladim ali starejšim — demografija kaže, da bodo isti prebivalci v istem stanovanju ostali skozi več desetletij.</w:t>
      </w:r>
    </w:p>
    <w:p>
      <w:r>
        <w:br w:type="page"/>
      </w:r>
    </w:p>
    <w:p>
      <w:pPr>
        <w:pStyle w:val="Heading1"/>
        <w:pBdr>
          <w:bottom w:val="single" w:color="0F3D3E" w:sz="8" w:space="4"/>
        </w:pBdr>
        <w:spacing w:after="200" w:before="480"/>
      </w:pPr>
      <w:r>
        <w:rPr>
          <w:b/>
          <w:bCs/>
          <w:color w:val="0F3D3E"/>
          <w:sz w:val="30"/>
          <w:szCs w:val="30"/>
        </w:rPr>
        <w:t xml:space="preserve">13. Regionalizacija</w:t>
      </w:r>
    </w:p>
    <w:p>
      <w:pPr>
        <w:pBdr>
          <w:left w:val="single" w:color="8C6D31" w:sz="16" w:space="8"/>
        </w:pBdr>
        <w:spacing w:after="200" w:before="100"/>
        <w:ind w:left="400"/>
      </w:pPr>
      <w:r>
        <w:rPr>
          <w:i/>
          <w:iCs/>
          <w:color w:val="0F3D3E"/>
          <w:sz w:val="21"/>
          <w:szCs w:val="21"/>
        </w:rPr>
        <w:t xml:space="preserve">Koper lahko ostane Koper. Izola ostane Izola. Piran ostane Piran. Ankaran ostane Ankaran. Vendar voda, energija, zdravstvo, promet, trg dela in demografija ne sledijo občinskim mejam.</w:t>
      </w:r>
    </w:p>
    <w:p>
      <w:pPr>
        <w:spacing w:after="140" w:line="288"/>
      </w:pPr>
      <w:r>
        <w:rPr>
          <w:sz w:val="21"/>
          <w:szCs w:val="21"/>
        </w:rPr>
        <w:t xml:space="preserve">To poglavje ne predlaga odprave lokalnih identitet, temveč razmejitev: za identiteto, kulturo in tradicijo naj ostane prostor lokalnega patriotizma; pri vodi, energiji, zdravstvu, prometu, stanovanjih in demografiji pa je racionalnejše regionalno sodelovanje.</w:t>
      </w:r>
    </w:p>
    <w:p>
      <w:pPr>
        <w:pStyle w:val="Heading2"/>
        <w:spacing w:after="140" w:before="320"/>
      </w:pPr>
      <w:r>
        <w:rPr>
          <w:b/>
          <w:bCs/>
          <w:color w:val="146C74"/>
          <w:sz w:val="25"/>
          <w:szCs w:val="25"/>
        </w:rPr>
        <w:t xml:space="preserve">13.1 Osrednje raziskovalno vprašanje</w:t>
      </w:r>
    </w:p>
    <w:p>
      <w:pPr>
        <w:spacing w:after="140" w:line="288"/>
      </w:pPr>
      <w:r>
        <w:rPr>
          <w:sz w:val="21"/>
          <w:szCs w:val="21"/>
        </w:rPr>
        <w:t xml:space="preserve">Ali lahko Koper, Izola, Piran in Ankaran dolgoročne demografske probleme rešujejo učinkovito vsaka zase? Tipičen dnevni vzorec funkcionalnega življenja tega ne potrjuje: oseba lahko živi v Izoli, dela v Kopru, uporablja zdravstvo v Izoli, ima starše v Piranu, otrok pa obiskuje dejavnost v Ankaranu. Funkcionalno življenje ne pozna občinskih meja, tudi če upravne meje ostajajo.</w:t>
      </w:r>
    </w:p>
    <w:p>
      <w:pPr>
        <w:pStyle w:val="Heading2"/>
        <w:spacing w:after="140" w:before="320"/>
      </w:pPr>
      <w:r>
        <w:rPr>
          <w:b/>
          <w:bCs/>
          <w:color w:val="146C74"/>
          <w:sz w:val="25"/>
          <w:szCs w:val="25"/>
        </w:rPr>
        <w:t xml:space="preserve">13.2 Že obstoječi regionalni procesi</w:t>
      </w:r>
    </w:p>
    <w:p>
      <w:pPr>
        <w:pStyle w:val="ListParagraph"/>
        <w:numPr>
          <w:ilvl w:val="0"/>
          <w:numId w:val="1"/>
        </w:numPr>
        <w:spacing w:after="80" w:line="276"/>
      </w:pPr>
      <w:r>
        <w:rPr>
          <w:sz w:val="21"/>
          <w:szCs w:val="21"/>
        </w:rPr>
        <w:t xml:space="preserve">Leta 2026 poteka priprava prvega Regionalnega prostorskega plana Obalno-Kraške razvojne regije ter urbanistične zasnove širšega mestnega območja Slovenske Istre; javno posvetovanje je potekalo med 20. junijem in 31. julijem 2026.</w:t>
      </w:r>
    </w:p>
    <w:p>
      <w:pPr>
        <w:pStyle w:val="ListParagraph"/>
        <w:numPr>
          <w:ilvl w:val="0"/>
          <w:numId w:val="1"/>
        </w:numPr>
        <w:spacing w:after="80" w:line="276"/>
      </w:pPr>
      <w:r>
        <w:rPr>
          <w:sz w:val="21"/>
          <w:szCs w:val="21"/>
        </w:rPr>
        <w:t xml:space="preserve">Regionalni razvojni program 2021–2027 je stanovanjski problem že prepoznal in med rešitvami omenjal najem z možnostjo odkupa, pomoč mladim pri obnovi podeželskih nepremičnin, stanovanjske zadruge, spodbujanje dolgoročnega najema, sobivanje mladih družin in starejših ter oskrbo na domu.</w:t>
      </w:r>
    </w:p>
    <w:p>
      <w:pPr>
        <w:pStyle w:val="ListParagraph"/>
        <w:numPr>
          <w:ilvl w:val="0"/>
          <w:numId w:val="1"/>
        </w:numPr>
        <w:spacing w:after="80" w:line="276"/>
      </w:pPr>
      <w:r>
        <w:rPr>
          <w:sz w:val="21"/>
          <w:szCs w:val="21"/>
        </w:rPr>
        <w:t xml:space="preserve">Piran je demografske študije naročal že v letih 1993, 1994, 2001, 2015 in 2019; študija iz 2019 je simulirala naravno rast brez migracij do leta 2041 s padajočim prebivalstvom, več starejšimi od 65 let in krčenjem delovno aktivne populacije med 25. in 65. letom. Program dela Urbanističnega inštituta RS za leto 2026 vključuje posodobitev demografske študije občine Piran.</w:t>
      </w:r>
    </w:p>
    <w:p>
      <w:pPr>
        <w:spacing w:after="220"/>
      </w:pPr>
      <w:r>
        <w:rPr>
          <w:i/>
          <w:iCs/>
          <w:color w:val="595959"/>
          <w:sz w:val="18"/>
          <w:szCs w:val="18"/>
        </w:rPr>
        <w:t xml:space="preserve">Vir: Regionalni razvojni center Koper; OPN Piran; UIRS, program dela 2026</w:t>
      </w:r>
    </w:p>
    <w:p>
      <w:pPr>
        <w:spacing w:after="120" w:line="288"/>
      </w:pPr>
      <w:r>
        <w:rPr>
          <w:b/>
          <w:bCs/>
          <w:color w:val="7A2E8A"/>
          <w:sz w:val="21"/>
          <w:szCs w:val="21"/>
        </w:rPr>
        <w:t xml:space="preserve">[PREDLOG] </w:t>
      </w:r>
      <w:r>
        <w:rPr>
          <w:sz w:val="21"/>
          <w:szCs w:val="21"/>
        </w:rPr>
        <w:t xml:space="preserve">IDP naj Piran in UIRS kontaktira kot potencialna raziskovalna partnerja pri posodobitvi piranske demografske študije, namesto da podvaja delo, ki že poteka.</w:t>
      </w:r>
    </w:p>
    <w:p>
      <w:pPr>
        <w:pStyle w:val="Heading2"/>
        <w:spacing w:after="140" w:before="320"/>
      </w:pPr>
      <w:r>
        <w:rPr>
          <w:b/>
          <w:bCs/>
          <w:color w:val="146C74"/>
          <w:sz w:val="25"/>
          <w:szCs w:val="25"/>
        </w:rPr>
        <w:t xml:space="preserve">13.3 Manjkajoč element: enotna demografska strategija</w:t>
      </w:r>
    </w:p>
    <w:p>
      <w:pPr>
        <w:spacing w:after="120" w:line="288"/>
      </w:pPr>
      <w:r>
        <w:rPr>
          <w:b/>
          <w:bCs/>
          <w:color w:val="9A6B00"/>
          <w:sz w:val="21"/>
          <w:szCs w:val="21"/>
        </w:rPr>
        <w:t xml:space="preserve">[HIPOTEZA] </w:t>
      </w:r>
      <w:r>
        <w:rPr>
          <w:sz w:val="21"/>
          <w:szCs w:val="21"/>
        </w:rPr>
        <w:t xml:space="preserve">V pregledanih dokumentih nismo našli ene same celovite demografske strategije Slovenske Istre. Demografski elementi so razpršeni med stanovanjsko, socialno, vzgojno-izobraževalno politiko, pomočjo ob rojstvu, oskrbo starejših, prostorskim načrtovanjem, turizmom, kratkotrajnimi najemi, gospodarstvom, zaposlovanjem in migracijami — vsaka od štirih občin jih obravnava delno in ločeno.</w:t>
      </w:r>
    </w:p>
    <w:p>
      <w:pPr>
        <w:pStyle w:val="Heading2"/>
        <w:spacing w:after="140" w:before="320"/>
      </w:pPr>
      <w:r>
        <w:rPr>
          <w:b/>
          <w:bCs/>
          <w:color w:val="146C74"/>
          <w:sz w:val="25"/>
          <w:szCs w:val="25"/>
        </w:rPr>
        <w:t xml:space="preserve">13.4 Predlagana področja skupnih politik</w:t>
      </w:r>
    </w:p>
    <w:p>
      <w:pPr>
        <w:pStyle w:val="ListParagraph"/>
        <w:numPr>
          <w:ilvl w:val="0"/>
          <w:numId w:val="1"/>
        </w:numPr>
        <w:spacing w:after="80" w:line="276"/>
      </w:pPr>
      <w:r>
        <w:rPr>
          <w:sz w:val="21"/>
          <w:szCs w:val="21"/>
        </w:rPr>
        <w:t xml:space="preserve">Energija (poglavje 10)</w:t>
      </w:r>
    </w:p>
    <w:p>
      <w:pPr>
        <w:pStyle w:val="ListParagraph"/>
        <w:numPr>
          <w:ilvl w:val="0"/>
          <w:numId w:val="1"/>
        </w:numPr>
        <w:spacing w:after="80" w:line="276"/>
      </w:pPr>
      <w:r>
        <w:rPr>
          <w:sz w:val="21"/>
          <w:szCs w:val="21"/>
        </w:rPr>
        <w:t xml:space="preserve">Voda (poglavje 11)</w:t>
      </w:r>
    </w:p>
    <w:p>
      <w:pPr>
        <w:pStyle w:val="ListParagraph"/>
        <w:numPr>
          <w:ilvl w:val="0"/>
          <w:numId w:val="1"/>
        </w:numPr>
        <w:spacing w:after="80" w:line="276"/>
      </w:pPr>
      <w:r>
        <w:rPr>
          <w:sz w:val="21"/>
          <w:szCs w:val="21"/>
        </w:rPr>
        <w:t xml:space="preserve">Javni prevoz</w:t>
      </w:r>
    </w:p>
    <w:p>
      <w:pPr>
        <w:pStyle w:val="ListParagraph"/>
        <w:numPr>
          <w:ilvl w:val="0"/>
          <w:numId w:val="1"/>
        </w:numPr>
        <w:spacing w:after="80" w:line="276"/>
      </w:pPr>
      <w:r>
        <w:rPr>
          <w:sz w:val="21"/>
          <w:szCs w:val="21"/>
        </w:rPr>
        <w:t xml:space="preserve">Zdravstvo in dolgotrajna oskrba (poglavje 5)</w:t>
      </w:r>
    </w:p>
    <w:p>
      <w:pPr>
        <w:pStyle w:val="ListParagraph"/>
        <w:numPr>
          <w:ilvl w:val="0"/>
          <w:numId w:val="1"/>
        </w:numPr>
        <w:spacing w:after="80" w:line="276"/>
      </w:pPr>
      <w:r>
        <w:rPr>
          <w:sz w:val="21"/>
          <w:szCs w:val="21"/>
        </w:rPr>
        <w:t xml:space="preserve">Stanovanja (poglavje 8)</w:t>
      </w:r>
    </w:p>
    <w:p>
      <w:pPr>
        <w:pStyle w:val="ListParagraph"/>
        <w:numPr>
          <w:ilvl w:val="0"/>
          <w:numId w:val="1"/>
        </w:numPr>
        <w:spacing w:after="80" w:line="276"/>
      </w:pPr>
      <w:r>
        <w:rPr>
          <w:sz w:val="21"/>
          <w:szCs w:val="21"/>
        </w:rPr>
        <w:t xml:space="preserve">Turizem in kratkotrajno oddajanje (poglavje 8.3)</w:t>
      </w:r>
    </w:p>
    <w:p>
      <w:pPr>
        <w:pStyle w:val="ListParagraph"/>
        <w:numPr>
          <w:ilvl w:val="0"/>
          <w:numId w:val="1"/>
        </w:numPr>
        <w:spacing w:after="80" w:line="276"/>
      </w:pPr>
      <w:r>
        <w:rPr>
          <w:sz w:val="21"/>
          <w:szCs w:val="21"/>
        </w:rPr>
        <w:t xml:space="preserve">Odpadki in kompostiranje (poglavje 9.3)</w:t>
      </w:r>
    </w:p>
    <w:p>
      <w:pPr>
        <w:pStyle w:val="ListParagraph"/>
        <w:numPr>
          <w:ilvl w:val="0"/>
          <w:numId w:val="1"/>
        </w:numPr>
        <w:spacing w:after="80" w:line="276"/>
      </w:pPr>
      <w:r>
        <w:rPr>
          <w:sz w:val="21"/>
          <w:szCs w:val="21"/>
        </w:rPr>
        <w:t xml:space="preserve">Prehranska oskrba (poglavje 9)</w:t>
      </w:r>
    </w:p>
    <w:p>
      <w:pPr>
        <w:pStyle w:val="ListParagraph"/>
        <w:numPr>
          <w:ilvl w:val="0"/>
          <w:numId w:val="1"/>
        </w:numPr>
        <w:spacing w:after="80" w:line="276"/>
      </w:pPr>
      <w:r>
        <w:rPr>
          <w:sz w:val="21"/>
          <w:szCs w:val="21"/>
        </w:rPr>
        <w:t xml:space="preserve">Gospodarski razvoj</w:t>
      </w:r>
    </w:p>
    <w:p>
      <w:pPr>
        <w:pStyle w:val="ListParagraph"/>
        <w:numPr>
          <w:ilvl w:val="0"/>
          <w:numId w:val="1"/>
        </w:numPr>
        <w:spacing w:after="80" w:line="276"/>
      </w:pPr>
      <w:r>
        <w:rPr>
          <w:sz w:val="21"/>
          <w:szCs w:val="21"/>
        </w:rPr>
        <w:t xml:space="preserve">Demografsko spremljanje (Demografski časovni stroj, poglavje 3.3)</w:t>
      </w:r>
    </w:p>
    <w:p>
      <w:pPr>
        <w:spacing w:after="120" w:line="288"/>
      </w:pPr>
      <w:r>
        <w:rPr>
          <w:b/>
          <w:bCs/>
          <w:color w:val="7A2E8A"/>
          <w:sz w:val="21"/>
          <w:szCs w:val="21"/>
        </w:rPr>
        <w:t xml:space="preserve">[PREDLOG] </w:t>
      </w:r>
      <w:r>
        <w:rPr>
          <w:sz w:val="21"/>
          <w:szCs w:val="21"/>
        </w:rPr>
        <w:t xml:space="preserve">To poglavje je neposredna raziskovalna podlaga za Dokument 2 (predvolilni komentar IDP) in predlagani Istrski dogovor o demografski odpornosti 2050, ki naj ga lahko podprejo različne politične liste, ne da bi IDP zavzel strankarsko stran.</w:t>
      </w:r>
    </w:p>
    <w:p>
      <w:r>
        <w:br w:type="page"/>
      </w:r>
    </w:p>
    <w:p>
      <w:pPr>
        <w:pStyle w:val="Heading1"/>
        <w:pBdr>
          <w:bottom w:val="single" w:color="0F3D3E" w:sz="8" w:space="4"/>
        </w:pBdr>
        <w:spacing w:after="200" w:before="480"/>
      </w:pPr>
      <w:r>
        <w:rPr>
          <w:b/>
          <w:bCs/>
          <w:color w:val="0F3D3E"/>
          <w:sz w:val="30"/>
          <w:szCs w:val="30"/>
        </w:rPr>
        <w:t xml:space="preserve">14. Srebrna ekonomija in longevity economy</w:t>
      </w:r>
    </w:p>
    <w:p>
      <w:pPr>
        <w:spacing w:after="140" w:line="288"/>
      </w:pPr>
      <w:r>
        <w:rPr>
          <w:sz w:val="21"/>
          <w:szCs w:val="21"/>
        </w:rPr>
        <w:t xml:space="preserve">Starejše prebivalstvo ni samo strošek. Gre tudi za potrošnike, lastnike premoženja, nosilce znanja in potencialni trg novih storitev — srebrno ekonomijo. Slovenska Istra ima kombinacijo dejavnikov (morje, zmerna klima, turizem, zdravstvena infrastruktura, Univerza na Primorskem, raziskovalne institucije, čezmejni prostor), ki jo lahko naredijo zanimiv laboratorij za to panogo; to ostaja hipoteza, dokler je ne podpremo s trdnejšimi lokalnimi podatki o povpraševanju in ponudbi.</w:t>
      </w:r>
    </w:p>
    <w:p>
      <w:pPr>
        <w:pStyle w:val="Heading2"/>
        <w:spacing w:after="140" w:before="320"/>
      </w:pPr>
      <w:r>
        <w:rPr>
          <w:b/>
          <w:bCs/>
          <w:color w:val="146C74"/>
          <w:sz w:val="25"/>
          <w:szCs w:val="25"/>
        </w:rPr>
        <w:t xml:space="preserve">14.1 Velikost trga — EU raven</w:t>
      </w:r>
    </w:p>
    <w:p>
      <w:pPr>
        <w:spacing w:after="120" w:line="288"/>
      </w:pPr>
      <w:r>
        <w:rPr>
          <w:b/>
          <w:bCs/>
          <w:color w:val="1B6E30"/>
          <w:sz w:val="21"/>
          <w:szCs w:val="21"/>
        </w:rPr>
        <w:t xml:space="preserve">[DEJSTVO] </w:t>
      </w:r>
      <w:r>
        <w:rPr>
          <w:sz w:val="21"/>
          <w:szCs w:val="21"/>
        </w:rPr>
        <w:t xml:space="preserve">Študija o srebrni ekonomiji, ki jo je za Evropsko komisijo izvedla družba Technopolis skupaj z Oxford Economics, je ocenila, da je poraba, povezana s prebivalstvom, starim 50 let ali več, v EU leta 2015 znašala 3,7 bilijona EUR, s projekcijo rasti na 5,7 bilijona EUR do leta 2025 — kar naj bi takrat prispevalo 6,4 bilijona EUR k BDP EU (32 % BDP) in podpiralo 88 milijonov delovnih mest (38 % zaposlenosti v EU).</w:t>
      </w:r>
    </w:p>
    <w:p>
      <w:pPr>
        <w:spacing w:after="220"/>
      </w:pPr>
      <w:r>
        <w:rPr>
          <w:i/>
          <w:iCs/>
          <w:color w:val="595959"/>
          <w:sz w:val="18"/>
          <w:szCs w:val="18"/>
        </w:rPr>
        <w:t xml:space="preserve">Vir: Evropska komisija, Silver Economy Study (Technopolis/Oxford Economics)</w:t>
      </w:r>
    </w:p>
    <w:p>
      <w:pPr>
        <w:spacing w:after="120" w:line="288"/>
      </w:pPr>
      <w:r>
        <w:rPr>
          <w:b/>
          <w:bCs/>
          <w:color w:val="1553A0"/>
          <w:sz w:val="21"/>
          <w:szCs w:val="21"/>
        </w:rPr>
        <w:t xml:space="preserve">[INTERPRETACIJA] </w:t>
      </w:r>
      <w:r>
        <w:rPr>
          <w:sz w:val="21"/>
          <w:szCs w:val="21"/>
        </w:rPr>
        <w:t xml:space="preserve">Pomembno metodološko opozorilo: številke za leto 2025 so bile projekcija, narejena leta 2018, ne sveža meritev iz leta 2025. Preden jih IDP javno navaja kot 'trenutno stanje', jih je treba označiti kot projekcijo prejšnje študije in po možnosti poiskati novejšo posodobitev.</w:t>
      </w:r>
    </w:p>
    <w:p>
      <w:pPr>
        <w:pStyle w:val="Heading2"/>
        <w:spacing w:after="140" w:before="320"/>
      </w:pPr>
      <w:r>
        <w:rPr>
          <w:b/>
          <w:bCs/>
          <w:color w:val="146C74"/>
          <w:sz w:val="25"/>
          <w:szCs w:val="25"/>
        </w:rPr>
        <w:t xml:space="preserve">14.2 Mednarodni kontekst staranja</w:t>
      </w:r>
    </w:p>
    <w:p>
      <w:pPr>
        <w:spacing w:after="140" w:line="288"/>
      </w:pPr>
      <w:r>
        <w:rPr>
          <w:sz w:val="21"/>
          <w:szCs w:val="21"/>
        </w:rPr>
        <w:t xml:space="preserve">OECD v poročilu Employment Outlook 2025 ('Navigating the golden years') obravnava pritisk staranja prebivalstva na trg dela in pokojninske sisteme v državah OECD; novembra 2025 je OECD javno opozoril, da bo hitro staranje prebivalstva še naprej obremenjevalo pokojninske sisteme ob že visokih javnih dolgovih. Podrobnejših, po državah razčlenjenih projekcij razmerja med delovno aktivnim in upokojenim prebivalstvom v okviru tega pregleda nismo v celoti pridobili — za natančno navajanje konkretnih razmerij je treba seči po polnem poročilu OECD.</w:t>
      </w:r>
    </w:p>
    <w:p>
      <w:pPr>
        <w:spacing w:after="220"/>
      </w:pPr>
      <w:r>
        <w:rPr>
          <w:i/>
          <w:iCs/>
          <w:color w:val="595959"/>
          <w:sz w:val="18"/>
          <w:szCs w:val="18"/>
        </w:rPr>
        <w:t xml:space="preserve">Vir: OECD, Employment Outlook 2025; OECD, sporočilo za javnost (november 2025)</w:t>
      </w:r>
    </w:p>
    <w:p>
      <w:pPr>
        <w:spacing w:after="120" w:line="288"/>
      </w:pPr>
      <w:r>
        <w:rPr>
          <w:b/>
          <w:bCs/>
          <w:color w:val="595959"/>
          <w:sz w:val="21"/>
          <w:szCs w:val="21"/>
        </w:rPr>
        <w:t xml:space="preserve">[PODATEK NI NA VOLJO] </w:t>
      </w:r>
      <w:r>
        <w:rPr>
          <w:sz w:val="21"/>
          <w:szCs w:val="21"/>
        </w:rPr>
        <w:t xml:space="preserve">Podrobne primerjalne analize politik Japonske, Južne Koreje, Singapurja, Danske, Nizozemske in Finske na področju srebrne ekonomije (kot jih zahteva master okvir raziskave) v tem pregledu nismo v celoti preverili iz prvotnih virov; obstajajo relevantne akademske in institucionalne študije (npr. primerjalna študija japonskih in južnokorejskih vladnih ukrepov, poglavje o srebrni ekonomiji v poročilu MDS World Economic Outlook, april 2025), ki jih IDP v naslednji fazi raziskave naj neposredno prebere in citira, namesto da povzema samo naslove.</w:t>
      </w:r>
    </w:p>
    <w:p>
      <w:pPr>
        <w:pStyle w:val="Heading2"/>
        <w:spacing w:after="140" w:before="320"/>
      </w:pPr>
      <w:r>
        <w:rPr>
          <w:b/>
          <w:bCs/>
          <w:color w:val="146C74"/>
          <w:sz w:val="25"/>
          <w:szCs w:val="25"/>
        </w:rPr>
        <w:t xml:space="preserve">14.3 Že opredeljena vloga v razvojnih dokumentih regije</w:t>
      </w:r>
    </w:p>
    <w:p>
      <w:pPr>
        <w:spacing w:after="140" w:line="288"/>
      </w:pPr>
      <w:r>
        <w:rPr>
          <w:sz w:val="21"/>
          <w:szCs w:val="21"/>
        </w:rPr>
        <w:t xml:space="preserve">Srebrna ekonomija je bila junija 2026 na javni tribuni Mestne občine Koper izrecno imenovana kot eden od štirih razvojnih stebrov Kopra do leta 2050, poleg logistike, modre ekonomije ter trajnostnega kmetijstva in turizma. To je pomemben premik: demografija in staranje nista več samo socialna politika, temveč razvojna politika mestne uprave.</w:t>
      </w:r>
    </w:p>
    <w:p>
      <w:pPr>
        <w:spacing w:after="220"/>
      </w:pPr>
      <w:r>
        <w:rPr>
          <w:i/>
          <w:iCs/>
          <w:color w:val="595959"/>
          <w:sz w:val="18"/>
          <w:szCs w:val="18"/>
        </w:rPr>
        <w:t xml:space="preserve">Vir: ZRS Koper, novica (junij 2026)</w:t>
      </w:r>
    </w:p>
    <w:p>
      <w:pPr>
        <w:pStyle w:val="Heading2"/>
        <w:spacing w:after="140" w:before="320"/>
      </w:pPr>
      <w:r>
        <w:rPr>
          <w:b/>
          <w:bCs/>
          <w:color w:val="146C74"/>
          <w:sz w:val="25"/>
          <w:szCs w:val="25"/>
        </w:rPr>
        <w:t xml:space="preserve">14.4 Notranji okvir IDP: 'most in mlin', ne lastnik panoge</w:t>
      </w:r>
    </w:p>
    <w:p>
      <w:pPr>
        <w:spacing w:after="140" w:line="288"/>
      </w:pPr>
      <w:r>
        <w:rPr>
          <w:sz w:val="21"/>
          <w:szCs w:val="21"/>
        </w:rPr>
        <w:t xml:space="preserve">Interni strateški dokument IDP o srebrni ekonomiji izhaja iz teze, da inštitut ne želi prisvojiti panoge, temveč deluje kot povezovalec startupov, podjetij, univerz, občin in skupnosti starejših — po zgledu francoskega grozda Silver Valley, kjer je povezovalec, ne nujno proizvajalec, ustvaril panogo. Za Slovensko Istro to pomeni, da IDP lahko predlaga model 'Silver pilotne občine' enemu od štirih partnerjev (najverjetneje Izoli, glede na že načrtovani dom starejših v Livadah, ali Kopru, glede na že sprejeto razvojno usmeritev).</w:t>
      </w:r>
    </w:p>
    <w:p>
      <w:pPr>
        <w:spacing w:after="220"/>
      </w:pPr>
      <w:r>
        <w:rPr>
          <w:i/>
          <w:iCs/>
          <w:color w:val="595959"/>
          <w:sz w:val="18"/>
          <w:szCs w:val="18"/>
        </w:rPr>
        <w:t xml:space="preserve">Vir: IDP, interni dokument 'Inštitut kot most in mlin srebrne ekonomije' (2026)</w:t>
      </w:r>
    </w:p>
    <w:p>
      <w:pPr>
        <w:pStyle w:val="Heading2"/>
        <w:spacing w:after="140" w:before="320"/>
      </w:pPr>
      <w:r>
        <w:rPr>
          <w:b/>
          <w:bCs/>
          <w:color w:val="146C74"/>
          <w:sz w:val="25"/>
          <w:szCs w:val="25"/>
        </w:rPr>
        <w:t xml:space="preserve">14.5 Longevity tourism — Istria Longevity</w:t>
      </w:r>
    </w:p>
    <w:p>
      <w:pPr>
        <w:spacing w:after="140" w:line="288"/>
      </w:pPr>
      <w:r>
        <w:rPr>
          <w:sz w:val="21"/>
          <w:szCs w:val="21"/>
        </w:rPr>
        <w:t xml:space="preserve">Obstoječi wellness in zdraviliški turizem Slovenske Istre je naravna osnova za razširitev v celovito ponudbo dolgoživosti: namesto vikend wellness paketa, 14-dnevni preventivni programi, 30-dnevna rehabilitacija, daljše zimsko bivanje za 60+, programi zdravega staranja, fizioterapija in diagnostika. To lahko hkrati zmanjša turistično sezonskost — gost, ki ostane tri tedne oktobra, ima drugačen gospodarski učinek kot gost za dve noči avgusta.</w:t>
      </w:r>
    </w:p>
    <w:p>
      <w:pPr>
        <w:spacing w:after="120" w:line="288"/>
      </w:pPr>
      <w:r>
        <w:rPr>
          <w:b/>
          <w:bCs/>
          <w:color w:val="7A2E8A"/>
          <w:sz w:val="21"/>
          <w:szCs w:val="21"/>
        </w:rPr>
        <w:t xml:space="preserve">[PREDLOG] </w:t>
      </w:r>
      <w:r>
        <w:rPr>
          <w:sz w:val="21"/>
          <w:szCs w:val="21"/>
        </w:rPr>
        <w:t xml:space="preserve">Pred razvojem produktov longevity tourism naj vsak predlog preide skozi demografski monokel (priloga A), s posebnim poudarkom na vprašanju, ali bi privabljanje premožnejših starejših gostov ali priseljencev dvignilo cene stanovanj in izrinilo mlade — to je pomembna varovalka, ne podrobnost.</w:t>
      </w:r>
    </w:p>
    <w:p>
      <w:r>
        <w:br w:type="page"/>
      </w:r>
    </w:p>
    <w:p>
      <w:pPr>
        <w:pStyle w:val="Heading1"/>
        <w:pBdr>
          <w:bottom w:val="single" w:color="0F3D3E" w:sz="8" w:space="4"/>
        </w:pBdr>
        <w:spacing w:after="200" w:before="480"/>
      </w:pPr>
      <w:r>
        <w:rPr>
          <w:b/>
          <w:bCs/>
          <w:color w:val="0F3D3E"/>
          <w:sz w:val="30"/>
          <w:szCs w:val="30"/>
        </w:rPr>
        <w:t xml:space="preserve">15. Izobraževanje in poklici demografske prihodnosti</w:t>
      </w:r>
    </w:p>
    <w:p>
      <w:pPr>
        <w:spacing w:after="140" w:line="288"/>
      </w:pPr>
      <w:r>
        <w:rPr>
          <w:sz w:val="21"/>
          <w:szCs w:val="21"/>
        </w:rPr>
        <w:t xml:space="preserve">Osrednje vprašanje poglavja ni 'koliko mladih bo', temveč kaj morajo mladi znati, da bodo lahko upravljali bistveno starejšo družbo. Vprašanje za srednješolca danes ni samo 'kaj je danes iskan poklic', temveč 'kaj bo družba potrebovala, ko bo leta 2045 star 35 ali 40 let'.</w:t>
      </w:r>
    </w:p>
    <w:p>
      <w:pPr>
        <w:pStyle w:val="Heading2"/>
        <w:spacing w:after="140" w:before="320"/>
      </w:pPr>
      <w:r>
        <w:rPr>
          <w:b/>
          <w:bCs/>
          <w:color w:val="146C74"/>
          <w:sz w:val="25"/>
          <w:szCs w:val="25"/>
        </w:rPr>
        <w:t xml:space="preserve">15.1 Področja demografskih znanj prihodnosti</w:t>
      </w:r>
    </w:p>
    <w:p>
      <w:pPr>
        <w:pStyle w:val="ListParagraph"/>
        <w:numPr>
          <w:ilvl w:val="0"/>
          <w:numId w:val="1"/>
        </w:numPr>
        <w:spacing w:after="80" w:line="276"/>
      </w:pPr>
      <w:r>
        <w:rPr>
          <w:sz w:val="21"/>
          <w:szCs w:val="21"/>
        </w:rPr>
        <w:t xml:space="preserve">Zdravstvo in oskrba: geriatrija, zdravstvena nega, fizioterapija, delovna terapija, demenca, paliativna in dolgotrajna oskrba.</w:t>
      </w:r>
    </w:p>
    <w:p>
      <w:pPr>
        <w:pStyle w:val="ListParagraph"/>
        <w:numPr>
          <w:ilvl w:val="0"/>
          <w:numId w:val="1"/>
        </w:numPr>
        <w:spacing w:after="80" w:line="276"/>
      </w:pPr>
      <w:r>
        <w:rPr>
          <w:sz w:val="21"/>
          <w:szCs w:val="21"/>
        </w:rPr>
        <w:t xml:space="preserve">Tehnologija: robotika v oskrbi, umetna inteligenca v zdravstvu, pametni domovi, asistivna tehnologija, telemedicina, senzorika.</w:t>
      </w:r>
    </w:p>
    <w:p>
      <w:pPr>
        <w:pStyle w:val="ListParagraph"/>
        <w:numPr>
          <w:ilvl w:val="0"/>
          <w:numId w:val="1"/>
        </w:numPr>
        <w:spacing w:after="80" w:line="276"/>
      </w:pPr>
      <w:r>
        <w:rPr>
          <w:sz w:val="21"/>
          <w:szCs w:val="21"/>
        </w:rPr>
        <w:t xml:space="preserve">Arhitektura in prostor: univerzalno oblikovanje, dostopna stanovanja, skupnostne oblike bivanja, mesta prijazna starosti.</w:t>
      </w:r>
    </w:p>
    <w:p>
      <w:pPr>
        <w:pStyle w:val="ListParagraph"/>
        <w:numPr>
          <w:ilvl w:val="0"/>
          <w:numId w:val="1"/>
        </w:numPr>
        <w:spacing w:after="80" w:line="276"/>
      </w:pPr>
      <w:r>
        <w:rPr>
          <w:sz w:val="21"/>
          <w:szCs w:val="21"/>
        </w:rPr>
        <w:t xml:space="preserve">Turizem: zdravstveni turizem, senior tourism, prilagojena gastronomija, dostopni turizem, dolgotrajna bivanja.</w:t>
      </w:r>
    </w:p>
    <w:p>
      <w:pPr>
        <w:pStyle w:val="ListParagraph"/>
        <w:numPr>
          <w:ilvl w:val="0"/>
          <w:numId w:val="1"/>
        </w:numPr>
        <w:spacing w:after="80" w:line="276"/>
      </w:pPr>
      <w:r>
        <w:rPr>
          <w:sz w:val="21"/>
          <w:szCs w:val="21"/>
        </w:rPr>
        <w:t xml:space="preserve">Ekonomija: srebrna ekonomija, pokojninski sistemi, zavarovalništvo, upravljanje premoženja starejših, novi poslovni modeli oskrbe.</w:t>
      </w:r>
    </w:p>
    <w:p>
      <w:pPr>
        <w:pStyle w:val="ListParagraph"/>
        <w:numPr>
          <w:ilvl w:val="0"/>
          <w:numId w:val="1"/>
        </w:numPr>
        <w:spacing w:after="80" w:line="276"/>
      </w:pPr>
      <w:r>
        <w:rPr>
          <w:sz w:val="21"/>
          <w:szCs w:val="21"/>
        </w:rPr>
        <w:t xml:space="preserve">Družboslovje: demografija, migracije, medgeneracijski odnosi, osamljenost, družinska politika.</w:t>
      </w:r>
    </w:p>
    <w:p>
      <w:pPr>
        <w:pStyle w:val="Heading2"/>
        <w:spacing w:after="140" w:before="320"/>
      </w:pPr>
      <w:r>
        <w:rPr>
          <w:b/>
          <w:bCs/>
          <w:color w:val="146C74"/>
          <w:sz w:val="25"/>
          <w:szCs w:val="25"/>
        </w:rPr>
        <w:t xml:space="preserve">15.2 Poklici demografske prihodnosti 2045</w:t>
      </w:r>
    </w:p>
    <w:p>
      <w:pPr>
        <w:spacing w:after="140" w:line="288"/>
      </w:pPr>
      <w:r>
        <w:rPr>
          <w:sz w:val="21"/>
          <w:szCs w:val="21"/>
        </w:rPr>
        <w:t xml:space="preserve">Nekateri nazivi bodo popolnoma novi, večina pa bo novih specializacij znotraj že obstoječih poklicev: koordinator dolgoživosti, specialist za pametno oskrbo, monter asistivnih tehnologij, specialist za zdravstveno robotiko, oblikovalec starosti prijaznih stanovanj, longevity tourism manager, strokovnjak za energetske skupnosti, specialist lokalnih prehranskih sistemov, upravljavec vodne odpornosti, podatkovni demograf, upravljavec demografskih simulacij.</w:t>
      </w:r>
    </w:p>
    <w:p>
      <w:pPr>
        <w:pStyle w:val="Heading2"/>
        <w:spacing w:after="140" w:before="320"/>
      </w:pPr>
      <w:r>
        <w:rPr>
          <w:b/>
          <w:bCs/>
          <w:color w:val="146C74"/>
          <w:sz w:val="25"/>
          <w:szCs w:val="25"/>
        </w:rPr>
        <w:t xml:space="preserve">15.3 Povezava z obstoječimi institucijami</w:t>
      </w:r>
    </w:p>
    <w:p>
      <w:pPr>
        <w:spacing w:after="140" w:line="288"/>
      </w:pPr>
      <w:r>
        <w:rPr>
          <w:sz w:val="21"/>
          <w:szCs w:val="21"/>
        </w:rPr>
        <w:t xml:space="preserve">Program 'Poklici demografske prihodnosti' lahko IDP Akademija razvije v sodelovanju z Univerzo na Primorskem, srednjimi šolami Slovenske Istre, zdravstvenimi ustanovami, občinami, turističnimi podjetji, domovi starejših in tehnološkimi podjetji. IDP Akademija že ima teoretično podlago za program mladih strokovnjakov (teorija človeškega kapitala, pristop zmožnosti), ki jo je mogoče neposredno prilagoditi tematiki Slovenske Istre.</w:t>
      </w:r>
    </w:p>
    <w:p>
      <w:pPr>
        <w:spacing w:after="220"/>
      </w:pPr>
      <w:r>
        <w:rPr>
          <w:i/>
          <w:iCs/>
          <w:color w:val="595959"/>
          <w:sz w:val="18"/>
          <w:szCs w:val="18"/>
        </w:rPr>
        <w:t xml:space="preserve">Vir: IDP Akademija, Teoretična podlaga (2026)</w:t>
      </w:r>
    </w:p>
    <w:p>
      <w:pPr>
        <w:spacing w:after="120" w:line="288"/>
      </w:pPr>
      <w:r>
        <w:rPr>
          <w:b/>
          <w:bCs/>
          <w:color w:val="7A2E8A"/>
          <w:sz w:val="21"/>
          <w:szCs w:val="21"/>
        </w:rPr>
        <w:t xml:space="preserve">[PREDLOG] </w:t>
      </w:r>
      <w:r>
        <w:rPr>
          <w:sz w:val="21"/>
          <w:szCs w:val="21"/>
        </w:rPr>
        <w:t xml:space="preserve">Prvi pilotni format naj bo kratka delavnica za srednješolce Slovenske Istre na temo 'Kaj bo obala potrebovala leta 2045', povezana z obstoječim programom delavnic IDP Akademije za srednje šole.</w:t>
      </w:r>
    </w:p>
    <w:p>
      <w:r>
        <w:br w:type="page"/>
      </w:r>
    </w:p>
    <w:p>
      <w:pPr>
        <w:pStyle w:val="Heading1"/>
        <w:pBdr>
          <w:bottom w:val="single" w:color="0F3D3E" w:sz="8" w:space="4"/>
        </w:pBdr>
        <w:spacing w:after="200" w:before="480"/>
      </w:pPr>
      <w:r>
        <w:rPr>
          <w:b/>
          <w:bCs/>
          <w:color w:val="0F3D3E"/>
          <w:sz w:val="30"/>
          <w:szCs w:val="30"/>
        </w:rPr>
        <w:t xml:space="preserve">16. Scenariji 2035 · 2050 · 2070</w:t>
      </w:r>
    </w:p>
    <w:p>
      <w:pPr>
        <w:spacing w:after="140" w:line="288"/>
      </w:pPr>
      <w:r>
        <w:rPr>
          <w:sz w:val="21"/>
          <w:szCs w:val="21"/>
        </w:rPr>
        <w:t xml:space="preserve">Scenariji so metodološko orodje za primerjavo posledic izbir, ne napoved. Vsi trije scenariji izhajajo iz iste demografske izhodiščne točke (2024–2026), a predpostavljajo različno stopnjo regionalnega sodelovanja štirih občin pri sistemih, ki jih obravnava ta dokument. Negotovost narašča z oddaljenostjo v prihodnost: ocene za 2035 so razmeroma trdne, za 2050 zmerno negotove, za 2070 pa okvirne in namenjene predvsem prikazu smeri, ne natančne številke.</w:t>
      </w:r>
    </w:p>
    <w:p>
      <w:pPr>
        <w:pStyle w:val="Heading2"/>
        <w:spacing w:after="140" w:before="320"/>
      </w:pPr>
      <w:r>
        <w:rPr>
          <w:b/>
          <w:bCs/>
          <w:color w:val="146C74"/>
          <w:sz w:val="25"/>
          <w:szCs w:val="25"/>
        </w:rPr>
        <w:t xml:space="preserve">16.1 Scenarij A — Poslovanje kot običajno</w:t>
      </w:r>
    </w:p>
    <w:p>
      <w:pPr>
        <w:spacing w:after="140" w:line="288"/>
      </w:pPr>
      <w:r>
        <w:rPr>
          <w:sz w:val="21"/>
          <w:szCs w:val="21"/>
        </w:rPr>
        <w:t xml:space="preserve">Štiri občine nadaljujejo večinoma ločene politike stanovanj, energije, vode in oskrbe starejših, z občasnim projektnim sodelovanjem. Kratkotrajno oddajanje se v posameznih občinah različno omeji, kar lahko preusmerja pritisk med občinami. Demografski vzorec (negativen naravni prirast, pozitivna a negotova migracija) se nadaljuje brez usklajenega odziva.</w:t>
      </w:r>
    </w:p>
    <w:p>
      <w:pPr>
        <w:pStyle w:val="Heading2"/>
        <w:spacing w:after="140" w:before="320"/>
      </w:pPr>
      <w:r>
        <w:rPr>
          <w:b/>
          <w:bCs/>
          <w:color w:val="146C74"/>
          <w:sz w:val="25"/>
          <w:szCs w:val="25"/>
        </w:rPr>
        <w:t xml:space="preserve">16.2 Scenarij B — Delno regionalno sodelovanje</w:t>
      </w:r>
    </w:p>
    <w:p>
      <w:pPr>
        <w:spacing w:after="140" w:line="288"/>
      </w:pPr>
      <w:r>
        <w:rPr>
          <w:sz w:val="21"/>
          <w:szCs w:val="21"/>
        </w:rPr>
        <w:t xml:space="preserve">Občine skupaj rešujejo posamezna področja, kjer je pritisk najbolj očiten (npr. usklajena omejitev kratkotrajnega oddajanja, skupna vodna strategija ob Rižanskem vodovodu, skupno spremljanje demografije), medtem ko stanovanjska politika, energija in izobraževanje ostajajo pretežno občinski.</w:t>
      </w:r>
    </w:p>
    <w:p>
      <w:pPr>
        <w:pStyle w:val="Heading2"/>
        <w:spacing w:after="140" w:before="320"/>
      </w:pPr>
      <w:r>
        <w:rPr>
          <w:b/>
          <w:bCs/>
          <w:color w:val="146C74"/>
          <w:sz w:val="25"/>
          <w:szCs w:val="25"/>
        </w:rPr>
        <w:t xml:space="preserve">16.3 Scenarij C — Demografsko odporna Istra</w:t>
      </w:r>
    </w:p>
    <w:p>
      <w:pPr>
        <w:spacing w:after="140" w:line="288"/>
      </w:pPr>
      <w:r>
        <w:rPr>
          <w:sz w:val="21"/>
          <w:szCs w:val="21"/>
        </w:rPr>
        <w:t xml:space="preserve">Vzpostavljen je koordiniran regionalni model (Istrski dogovor o demografski odpornosti 2050, glej Dokument 2): skupno načrtovanje stanovanj, energetska skupnost, usklajena vodna strategija, regionalno spremljanje demografije prek Demografskega časovnega stroja, ter usklajena raba srebrne ekonomije in longevity tourism kot razvojne priložnosti, ves čas ob demografskem monoklu, ki preprečuje izrinjanje mladih.</w:t>
      </w:r>
    </w:p>
    <w:p>
      <w:pPr>
        <w:pStyle w:val="Heading2"/>
        <w:spacing w:after="140" w:before="320"/>
      </w:pPr>
      <w:r>
        <w:rPr>
          <w:b/>
          <w:bCs/>
          <w:color w:val="146C74"/>
          <w:sz w:val="25"/>
          <w:szCs w:val="25"/>
        </w:rPr>
        <w:t xml:space="preserve">16.4 Primerjalna tabela (okvirna, z izrecno negotovostjo)</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3000"/>
      </w:tblGrid>
      <w:tr>
        <w:trPr>
          <w:tblHeader/>
        </w:trPr>
        <w:tc>
          <w:tcPr>
            <w:tcW w:type="dxa" w:w="1500"/>
            <w:shd w:fill="0F3D3E" w:val="clear"/>
            <w:tcMar>
              <w:top w:type="dxa" w:w="60"/>
              <w:left w:type="dxa" w:w="100"/>
              <w:bottom w:type="dxa" w:w="60"/>
              <w:right w:type="dxa" w:w="100"/>
            </w:tcMar>
            <w:vAlign w:val="center"/>
          </w:tcPr>
          <w:p>
            <w:pPr>
              <w:jc w:val="left"/>
            </w:pPr>
            <w:r>
              <w:rPr>
                <w:b/>
                <w:bCs/>
                <w:color w:val="FFFFFF"/>
                <w:sz w:val="19"/>
                <w:szCs w:val="19"/>
              </w:rPr>
              <w:t xml:space="preserve">Kazalnik / obzorje</w:t>
            </w:r>
          </w:p>
        </w:tc>
        <w:tc>
          <w:tcPr>
            <w:tcW w:type="dxa" w:w="2500"/>
            <w:shd w:fill="0F3D3E" w:val="clear"/>
            <w:tcMar>
              <w:top w:type="dxa" w:w="60"/>
              <w:left w:type="dxa" w:w="100"/>
              <w:bottom w:type="dxa" w:w="60"/>
              <w:right w:type="dxa" w:w="100"/>
            </w:tcMar>
            <w:vAlign w:val="center"/>
          </w:tcPr>
          <w:p>
            <w:pPr>
              <w:jc w:val="left"/>
            </w:pPr>
            <w:r>
              <w:rPr>
                <w:b/>
                <w:bCs/>
                <w:color w:val="FFFFFF"/>
                <w:sz w:val="19"/>
                <w:szCs w:val="19"/>
              </w:rPr>
              <w:t xml:space="preserve">2035 (razmeroma trdno)</w:t>
            </w:r>
          </w:p>
        </w:tc>
        <w:tc>
          <w:tcPr>
            <w:tcW w:type="dxa" w:w="2500"/>
            <w:shd w:fill="0F3D3E" w:val="clear"/>
            <w:tcMar>
              <w:top w:type="dxa" w:w="60"/>
              <w:left w:type="dxa" w:w="100"/>
              <w:bottom w:type="dxa" w:w="60"/>
              <w:right w:type="dxa" w:w="100"/>
            </w:tcMar>
            <w:vAlign w:val="center"/>
          </w:tcPr>
          <w:p>
            <w:pPr>
              <w:jc w:val="left"/>
            </w:pPr>
            <w:r>
              <w:rPr>
                <w:b/>
                <w:bCs/>
                <w:color w:val="FFFFFF"/>
                <w:sz w:val="19"/>
                <w:szCs w:val="19"/>
              </w:rPr>
              <w:t xml:space="preserve">2050 (zmerno negotovo)</w:t>
            </w:r>
          </w:p>
        </w:tc>
        <w:tc>
          <w:tcPr>
            <w:tcW w:type="dxa" w:w="3000"/>
            <w:shd w:fill="0F3D3E" w:val="clear"/>
            <w:tcMar>
              <w:top w:type="dxa" w:w="60"/>
              <w:left w:type="dxa" w:w="100"/>
              <w:bottom w:type="dxa" w:w="60"/>
              <w:right w:type="dxa" w:w="100"/>
            </w:tcMar>
            <w:vAlign w:val="center"/>
          </w:tcPr>
          <w:p>
            <w:pPr>
              <w:jc w:val="left"/>
            </w:pPr>
            <w:r>
              <w:rPr>
                <w:b/>
                <w:bCs/>
                <w:color w:val="FFFFFF"/>
                <w:sz w:val="19"/>
                <w:szCs w:val="19"/>
              </w:rPr>
              <w:t xml:space="preserve">2070 (okvirno, smer ne številka)</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Scenarij A</w:t>
            </w:r>
          </w:p>
        </w:tc>
        <w:tc>
          <w:tcPr>
            <w:tcW w:type="dxa" w:w="2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Nadaljevanje sedanjega vzorca: negativen naravni prirast, migracija kot glavni, a negotov vir rasti</w:t>
            </w:r>
          </w:p>
        </w:tc>
        <w:tc>
          <w:tcPr>
            <w:tcW w:type="dxa" w:w="2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Vse večja odvisnost od migracij za vzdrževanje števila prebivalcev; tvegana razdrobljenost stanovanjske in vodne politike</w:t>
            </w:r>
          </w:p>
        </w:tc>
        <w:tc>
          <w:tcPr>
            <w:tcW w:type="dxa" w:w="30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Visoka negotovost; brez usklajenih sistemov je regija bolj izpostavljena zunanjim šokom (voda, energija, kadri)</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Scenarij B</w:t>
            </w:r>
          </w:p>
        </w:tc>
        <w:tc>
          <w:tcPr>
            <w:tcW w:type="dxa" w:w="2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Nekaj usklajenih ukrepov (npr. kratkotrajno oddajanje, vodna strategija) blaži najbolj akutne pritiske</w:t>
            </w:r>
          </w:p>
        </w:tc>
        <w:tc>
          <w:tcPr>
            <w:tcW w:type="dxa" w:w="2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Delno zmanjšana ranljivost pri vodi in stanovanjih; demografski vzorec ostaja podoben scenariju A</w:t>
            </w:r>
          </w:p>
        </w:tc>
        <w:tc>
          <w:tcPr>
            <w:tcW w:type="dxa" w:w="30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Nejasna dolgoročna slika; odvisno od tega, katera področja ostanejo neusklajena</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Scenarij C</w:t>
            </w:r>
          </w:p>
        </w:tc>
        <w:tc>
          <w:tcPr>
            <w:tcW w:type="dxa" w:w="2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Vzpostavljen regionalni okvir (Istrski dogovor); zgodnji učinki na stanovanjsko dostopnost in energetsko/vodno odpornost</w:t>
            </w:r>
          </w:p>
        </w:tc>
        <w:tc>
          <w:tcPr>
            <w:tcW w:type="dxa" w:w="2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Vidno zmanjšana ranljivost pri vodi, energiji in kadrih v oskrbi; Slovenska Istra kot prepoznaven laboratorij srebrne ekonomije</w:t>
            </w:r>
          </w:p>
        </w:tc>
        <w:tc>
          <w:tcPr>
            <w:tcW w:type="dxa" w:w="30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Največja negotovost, a najboljša izhodiščna pozicija za prilagajanje, ker so alternativni viri in regionalni mehanizmi že vzpostavljeni</w:t>
            </w:r>
          </w:p>
        </w:tc>
      </w:tr>
    </w:tbl>
    <w:p>
      <w:pPr>
        <w:spacing w:after="120" w:line="288"/>
      </w:pPr>
      <w:r>
        <w:rPr>
          <w:b/>
          <w:bCs/>
          <w:color w:val="9A6B00"/>
          <w:sz w:val="21"/>
          <w:szCs w:val="21"/>
        </w:rPr>
        <w:t xml:space="preserve">[HIPOTEZA] </w:t>
      </w:r>
      <w:r>
        <w:rPr>
          <w:sz w:val="21"/>
          <w:szCs w:val="21"/>
        </w:rPr>
        <w:t xml:space="preserve">Scenarij C ne predpostavlja višje rodnosti ali bistveno drugačnega migracijskega vzorca od scenarija A — razlika je v tem, da regija v scenariju C bolje upravlja posledice istega demografskega vzorca. To razlikovanje je namerno: regionalno sodelovanje obravnavamo kot orodje odpornosti, ne kot čudežno rešitev za rodnost.</w:t>
      </w:r>
    </w:p>
    <w:p>
      <w:r>
        <w:br w:type="page"/>
      </w:r>
    </w:p>
    <w:p>
      <w:pPr>
        <w:pStyle w:val="Heading1"/>
        <w:pBdr>
          <w:bottom w:val="single" w:color="0F3D3E" w:sz="8" w:space="4"/>
        </w:pBdr>
        <w:spacing w:after="200" w:before="480"/>
      </w:pPr>
      <w:r>
        <w:rPr>
          <w:b/>
          <w:bCs/>
          <w:color w:val="0F3D3E"/>
          <w:sz w:val="30"/>
          <w:szCs w:val="30"/>
        </w:rPr>
        <w:t xml:space="preserve">17. Kazalniki za spremljanje</w:t>
      </w:r>
    </w:p>
    <w:p>
      <w:pPr>
        <w:spacing w:after="140" w:line="288"/>
      </w:pPr>
      <w:r>
        <w:rPr>
          <w:sz w:val="21"/>
          <w:szCs w:val="21"/>
        </w:rPr>
        <w:t xml:space="preserve">Predlagan nabor kazalnikov, ki naj jih IDP letno spremlja po posamezni občini (kjer je podatek na voljo) in za Obalno-kraško regijo (kjer podatek obstaja samo na tej ravni). Nabor je namenoma jedrnat — širitev je smiselna šele, ko je osnovni nabor vzpostavljen in redno posodobljen.</w:t>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1500"/>
        <w:gridCol w:w="3300"/>
        <w:gridCol w:w="1900"/>
        <w:gridCol w:w="1800"/>
      </w:tblGrid>
      <w:tr>
        <w:trPr>
          <w:tblHeader/>
        </w:trPr>
        <w:tc>
          <w:tcPr>
            <w:tcW w:type="dxa" w:w="1500"/>
            <w:shd w:fill="0F3D3E" w:val="clear"/>
            <w:tcMar>
              <w:top w:type="dxa" w:w="60"/>
              <w:left w:type="dxa" w:w="100"/>
              <w:bottom w:type="dxa" w:w="60"/>
              <w:right w:type="dxa" w:w="100"/>
            </w:tcMar>
            <w:vAlign w:val="center"/>
          </w:tcPr>
          <w:p>
            <w:pPr>
              <w:jc w:val="left"/>
            </w:pPr>
            <w:r>
              <w:rPr>
                <w:b/>
                <w:bCs/>
                <w:color w:val="FFFFFF"/>
                <w:sz w:val="19"/>
                <w:szCs w:val="19"/>
              </w:rPr>
              <w:t xml:space="preserve">Steber</w:t>
            </w:r>
          </w:p>
        </w:tc>
        <w:tc>
          <w:tcPr>
            <w:tcW w:type="dxa" w:w="3300"/>
            <w:shd w:fill="0F3D3E" w:val="clear"/>
            <w:tcMar>
              <w:top w:type="dxa" w:w="60"/>
              <w:left w:type="dxa" w:w="100"/>
              <w:bottom w:type="dxa" w:w="60"/>
              <w:right w:type="dxa" w:w="100"/>
            </w:tcMar>
            <w:vAlign w:val="center"/>
          </w:tcPr>
          <w:p>
            <w:pPr>
              <w:jc w:val="left"/>
            </w:pPr>
            <w:r>
              <w:rPr>
                <w:b/>
                <w:bCs/>
                <w:color w:val="FFFFFF"/>
                <w:sz w:val="19"/>
                <w:szCs w:val="19"/>
              </w:rPr>
              <w:t xml:space="preserve">Kazalnik</w:t>
            </w:r>
          </w:p>
        </w:tc>
        <w:tc>
          <w:tcPr>
            <w:tcW w:type="dxa" w:w="1900"/>
            <w:shd w:fill="0F3D3E" w:val="clear"/>
            <w:tcMar>
              <w:top w:type="dxa" w:w="60"/>
              <w:left w:type="dxa" w:w="100"/>
              <w:bottom w:type="dxa" w:w="60"/>
              <w:right w:type="dxa" w:w="100"/>
            </w:tcMar>
            <w:vAlign w:val="center"/>
          </w:tcPr>
          <w:p>
            <w:pPr>
              <w:jc w:val="left"/>
            </w:pPr>
            <w:r>
              <w:rPr>
                <w:b/>
                <w:bCs/>
                <w:color w:val="FFFFFF"/>
                <w:sz w:val="19"/>
                <w:szCs w:val="19"/>
              </w:rPr>
              <w:t xml:space="preserve">Vir</w:t>
            </w:r>
          </w:p>
        </w:tc>
        <w:tc>
          <w:tcPr>
            <w:tcW w:type="dxa" w:w="1800"/>
            <w:shd w:fill="0F3D3E" w:val="clear"/>
            <w:tcMar>
              <w:top w:type="dxa" w:w="60"/>
              <w:left w:type="dxa" w:w="100"/>
              <w:bottom w:type="dxa" w:w="60"/>
              <w:right w:type="dxa" w:w="100"/>
            </w:tcMar>
            <w:vAlign w:val="center"/>
          </w:tcPr>
          <w:p>
            <w:pPr>
              <w:jc w:val="left"/>
            </w:pPr>
            <w:r>
              <w:rPr>
                <w:b/>
                <w:bCs/>
                <w:color w:val="FFFFFF"/>
                <w:sz w:val="19"/>
                <w:szCs w:val="19"/>
              </w:rPr>
              <w:t xml:space="preserve">Raven razpoložljivosti</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Prebivalstvo</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Naravni, selitveni in skupni prirast</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SURS</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Občina</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Prebivalstvo</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Indeks staranja, povprečna starost, delež 0–14 / 65+ / 80+</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SURS</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Občina</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Rodnost</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Skupna stopnja rodnosti (TFR)</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SURS</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Trenutno samo regija</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Dejansko prebivalstvo</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Ocena razlike registrirano/dejansko prebivalstvo</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IDP (predlagana lastna raziskava)</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Ni na voljo — vrzel</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Zdravje</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Starostno standardizirana umrljivost, pričakovana življenjska doba</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NIJZ</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Občina</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Dolgotrajna oskrba</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Število uporabnikov, število oskrbovalcev družinskega člana, čakalne dobe</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MZ / CSD</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Nacionalno, občina delno</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Delovna sila</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Stopnja brezposelnosti, stopnja delovne aktivnosti, prosta delovna mesta po panogah</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ZRSZ / SURS</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Regija, občina delno</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Stanovanja</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Št. javnih najemnih stanovanj, cene, št. dni kratkotrajnega oddajanja</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Občine, GURS, AJPES</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Občina</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Energija</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Delež lokalne proizvodnje, št. članov energetskih skupnosti</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Občine, distributerji</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Ni še vzpostavljeno</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Voda</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Poraba, izgube omrežja, zaloga vira Rižane</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Rižanski vodovod</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Regija</w:t>
            </w:r>
          </w:p>
        </w:tc>
      </w:tr>
      <w:tr>
        <w:tc>
          <w:tcPr>
            <w:tcW w:type="dxa" w:w="15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Podnebje</w:t>
            </w:r>
          </w:p>
        </w:tc>
        <w:tc>
          <w:tcPr>
            <w:tcW w:type="dxa" w:w="33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Št. vročih dni, tropskih noči, padavinska bilanca</w:t>
            </w:r>
          </w:p>
        </w:tc>
        <w:tc>
          <w:tcPr>
            <w:tcW w:type="dxa" w:w="19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ARSO</w:t>
            </w:r>
          </w:p>
        </w:tc>
        <w:tc>
          <w:tcPr>
            <w:tcW w:type="dxa" w:w="18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Regija/postaja</w:t>
            </w:r>
          </w:p>
        </w:tc>
      </w:tr>
      <w:tr>
        <w:tc>
          <w:tcPr>
            <w:tcW w:type="dxa" w:w="15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Srebrna ekonomija</w:t>
            </w:r>
          </w:p>
        </w:tc>
        <w:tc>
          <w:tcPr>
            <w:tcW w:type="dxa" w:w="33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Št. podjetij, zaposlenih in projektov v panogi</w:t>
            </w:r>
          </w:p>
        </w:tc>
        <w:tc>
          <w:tcPr>
            <w:tcW w:type="dxa" w:w="19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AJPES, IDP</w:t>
            </w:r>
          </w:p>
        </w:tc>
        <w:tc>
          <w:tcPr>
            <w:tcW w:type="dxa" w:w="18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Ni še vzpostavljeno</w:t>
            </w:r>
          </w:p>
        </w:tc>
      </w:tr>
    </w:tbl>
    <w:p>
      <w:pPr>
        <w:spacing w:after="120" w:line="288"/>
      </w:pPr>
      <w:r>
        <w:rPr>
          <w:b/>
          <w:bCs/>
          <w:color w:val="7A2E8A"/>
          <w:sz w:val="21"/>
          <w:szCs w:val="21"/>
        </w:rPr>
        <w:t xml:space="preserve">[PREDLOG] </w:t>
      </w:r>
      <w:r>
        <w:rPr>
          <w:sz w:val="21"/>
          <w:szCs w:val="21"/>
        </w:rPr>
        <w:t xml:space="preserve">Kazalnike z oznako 'ni na voljo' ali 'ni še vzpostavljeno' naj IDP obravnava kot prednostni seznam za naslednjih 12 mesecev raziskovalnega dela, ne kot trajno vrzel.</w:t>
      </w:r>
    </w:p>
    <w:p>
      <w:r>
        <w:br w:type="page"/>
      </w:r>
    </w:p>
    <w:p>
      <w:pPr>
        <w:pStyle w:val="Heading1"/>
        <w:pBdr>
          <w:bottom w:val="single" w:color="0F3D3E" w:sz="8" w:space="4"/>
        </w:pBdr>
        <w:spacing w:after="200" w:before="480"/>
      </w:pPr>
      <w:r>
        <w:rPr>
          <w:b/>
          <w:bCs/>
          <w:color w:val="0F3D3E"/>
          <w:sz w:val="30"/>
          <w:szCs w:val="30"/>
        </w:rPr>
        <w:t xml:space="preserve">18. Priporočila</w:t>
      </w:r>
    </w:p>
    <w:p>
      <w:pPr>
        <w:spacing w:after="140" w:line="288"/>
      </w:pPr>
      <w:r>
        <w:rPr>
          <w:sz w:val="21"/>
          <w:szCs w:val="21"/>
        </w:rPr>
        <w:t xml:space="preserve">Priporočila so razvrščena po nujnosti glede na že znane roke (kratkotrajno oddajanje, regionalni prostorski plan) in po tem, koliko je za izvedbo potrebno regionalno usklajevanje.</w:t>
      </w:r>
    </w:p>
    <w:p>
      <w:pPr>
        <w:pStyle w:val="Heading2"/>
        <w:spacing w:after="140" w:before="320"/>
      </w:pPr>
      <w:r>
        <w:rPr>
          <w:b/>
          <w:bCs/>
          <w:color w:val="146C74"/>
          <w:sz w:val="25"/>
          <w:szCs w:val="25"/>
        </w:rPr>
        <w:t xml:space="preserve">18.1 Kratkoročno (do konca 2026)</w:t>
      </w:r>
    </w:p>
    <w:p>
      <w:pPr>
        <w:pStyle w:val="ListParagraph"/>
        <w:numPr>
          <w:ilvl w:val="0"/>
          <w:numId w:val="1"/>
        </w:numPr>
        <w:spacing w:after="80" w:line="276"/>
      </w:pPr>
      <w:r>
        <w:rPr>
          <w:sz w:val="21"/>
          <w:szCs w:val="21"/>
        </w:rPr>
        <w:t xml:space="preserve">Uskladiti odločitve štirih občin o omejitvi kratkotrajnega oddajanja pred rokom 31. oktobra 2026, namesto da vsaka občina odloča izolirano.</w:t>
      </w:r>
    </w:p>
    <w:p>
      <w:pPr>
        <w:pStyle w:val="ListParagraph"/>
        <w:numPr>
          <w:ilvl w:val="0"/>
          <w:numId w:val="1"/>
        </w:numPr>
        <w:spacing w:after="80" w:line="276"/>
      </w:pPr>
      <w:r>
        <w:rPr>
          <w:sz w:val="21"/>
          <w:szCs w:val="21"/>
        </w:rPr>
        <w:t xml:space="preserve">Vključiti zaščito kmetijskih zemljišč in demografsko-prostorske kriterije v pripravo Regionalnega prostorskega plana Obalno-Kraške razvojne regije, dokler je postopek še odprt.</w:t>
      </w:r>
    </w:p>
    <w:p>
      <w:pPr>
        <w:pStyle w:val="ListParagraph"/>
        <w:numPr>
          <w:ilvl w:val="0"/>
          <w:numId w:val="1"/>
        </w:numPr>
        <w:spacing w:after="80" w:line="276"/>
      </w:pPr>
      <w:r>
        <w:rPr>
          <w:sz w:val="21"/>
          <w:szCs w:val="21"/>
        </w:rPr>
        <w:t xml:space="preserve">Vzpostaviti stik z UIRS glede posodobitve demografske študije občine Piran, da IDP ne podvaja dela.</w:t>
      </w:r>
    </w:p>
    <w:p>
      <w:pPr>
        <w:pStyle w:val="Heading2"/>
        <w:spacing w:after="140" w:before="320"/>
      </w:pPr>
      <w:r>
        <w:rPr>
          <w:b/>
          <w:bCs/>
          <w:color w:val="146C74"/>
          <w:sz w:val="25"/>
          <w:szCs w:val="25"/>
        </w:rPr>
        <w:t xml:space="preserve">18.2 Srednjeročno (2027–2030)</w:t>
      </w:r>
    </w:p>
    <w:p>
      <w:pPr>
        <w:pStyle w:val="ListParagraph"/>
        <w:numPr>
          <w:ilvl w:val="0"/>
          <w:numId w:val="1"/>
        </w:numPr>
        <w:spacing w:after="80" w:line="276"/>
      </w:pPr>
      <w:r>
        <w:rPr>
          <w:sz w:val="21"/>
          <w:szCs w:val="21"/>
        </w:rPr>
        <w:t xml:space="preserve">Zasnovati in izvesti raziskavo 'Kdo dejansko živi v Slovenski Istri?' po zgledu piranske neformalne raziskave iz 2020, tokrat za vse štiri občine.</w:t>
      </w:r>
    </w:p>
    <w:p>
      <w:pPr>
        <w:pStyle w:val="ListParagraph"/>
        <w:numPr>
          <w:ilvl w:val="0"/>
          <w:numId w:val="1"/>
        </w:numPr>
        <w:spacing w:after="80" w:line="276"/>
      </w:pPr>
      <w:r>
        <w:rPr>
          <w:sz w:val="21"/>
          <w:szCs w:val="21"/>
        </w:rPr>
        <w:t xml:space="preserve">Pridobiti občinsko razčlenjene projekcije (POSTAN/Celovita demografska analiza) in migracijsko anatomijo (starost, spol, državljanstvo, prejšnje bivališče) za vse štiri občine.</w:t>
      </w:r>
    </w:p>
    <w:p>
      <w:pPr>
        <w:pStyle w:val="ListParagraph"/>
        <w:numPr>
          <w:ilvl w:val="0"/>
          <w:numId w:val="1"/>
        </w:numPr>
        <w:spacing w:after="80" w:line="276"/>
      </w:pPr>
      <w:r>
        <w:rPr>
          <w:sz w:val="21"/>
          <w:szCs w:val="21"/>
        </w:rPr>
        <w:t xml:space="preserve">Preučiti izvedljivost Istrske energetske skupnosti in regionalnega kompostiranja s strokovno oceno stroškov in tveganj.</w:t>
      </w:r>
    </w:p>
    <w:p>
      <w:pPr>
        <w:pStyle w:val="ListParagraph"/>
        <w:numPr>
          <w:ilvl w:val="0"/>
          <w:numId w:val="1"/>
        </w:numPr>
        <w:spacing w:after="80" w:line="276"/>
      </w:pPr>
      <w:r>
        <w:rPr>
          <w:sz w:val="21"/>
          <w:szCs w:val="21"/>
        </w:rPr>
        <w:t xml:space="preserve">Razviti prve pilotne module 'Poklici demografske prihodnosti' z Univerzo na Primorskem in srednjimi šolami.</w:t>
      </w:r>
    </w:p>
    <w:p>
      <w:pPr>
        <w:pStyle w:val="Heading2"/>
        <w:spacing w:after="140" w:before="320"/>
      </w:pPr>
      <w:r>
        <w:rPr>
          <w:b/>
          <w:bCs/>
          <w:color w:val="146C74"/>
          <w:sz w:val="25"/>
          <w:szCs w:val="25"/>
        </w:rPr>
        <w:t xml:space="preserve">18.3 Dolgoročno (do 2035 in dalje)</w:t>
      </w:r>
    </w:p>
    <w:p>
      <w:pPr>
        <w:pStyle w:val="ListParagraph"/>
        <w:numPr>
          <w:ilvl w:val="0"/>
          <w:numId w:val="1"/>
        </w:numPr>
        <w:spacing w:after="80" w:line="276"/>
      </w:pPr>
      <w:r>
        <w:rPr>
          <w:sz w:val="21"/>
          <w:szCs w:val="21"/>
        </w:rPr>
        <w:t xml:space="preserve">Vzpostaviti Demografski časovni stroj kot javno orodje za Slovensko Istro, po zgledu pilota za Ljubljano.</w:t>
      </w:r>
    </w:p>
    <w:p>
      <w:pPr>
        <w:pStyle w:val="ListParagraph"/>
        <w:numPr>
          <w:ilvl w:val="0"/>
          <w:numId w:val="1"/>
        </w:numPr>
        <w:spacing w:after="80" w:line="276"/>
      </w:pPr>
      <w:r>
        <w:rPr>
          <w:sz w:val="21"/>
          <w:szCs w:val="21"/>
        </w:rPr>
        <w:t xml:space="preserve">Razviti Slovensko Istro kot prepoznaven laboratorij srebrne in longevity ekonomije, z demografskim monoklom kot stalno varovalko pred izrinjanjem mladih.</w:t>
      </w:r>
    </w:p>
    <w:p>
      <w:pPr>
        <w:pStyle w:val="ListParagraph"/>
        <w:numPr>
          <w:ilvl w:val="0"/>
          <w:numId w:val="1"/>
        </w:numPr>
        <w:spacing w:after="80" w:line="276"/>
      </w:pPr>
      <w:r>
        <w:rPr>
          <w:sz w:val="21"/>
          <w:szCs w:val="21"/>
        </w:rPr>
        <w:t xml:space="preserve">Skleniti in redno posodabljati Istrski dogovor o demografski odpornosti 2050 med štirimi občinami (glej Dokument 2).</w:t>
      </w:r>
    </w:p>
    <w:p>
      <w:pPr>
        <w:pStyle w:val="Heading2"/>
        <w:spacing w:after="140" w:before="320"/>
      </w:pPr>
      <w:r>
        <w:rPr>
          <w:b/>
          <w:bCs/>
          <w:color w:val="146C74"/>
          <w:sz w:val="25"/>
          <w:szCs w:val="25"/>
        </w:rPr>
        <w:t xml:space="preserve">18.4 Zaključno vprašanje</w:t>
      </w:r>
    </w:p>
    <w:p>
      <w:pPr>
        <w:pBdr>
          <w:left w:val="single" w:color="8C6D31" w:sz="16" w:space="8"/>
        </w:pBdr>
        <w:spacing w:after="200" w:before="100"/>
        <w:ind w:left="400"/>
      </w:pPr>
      <w:r>
        <w:rPr>
          <w:i/>
          <w:iCs/>
          <w:color w:val="0F3D3E"/>
          <w:sz w:val="21"/>
          <w:szCs w:val="21"/>
        </w:rPr>
        <w:t xml:space="preserve">Ali današnje odločitve povečujejo ali zmanjšujejo sposobnost Slovenske Istre, da bo leta 2050 dobro okolje za otroke, družine, aktivne ljudi in starejše generacije?</w:t>
      </w:r>
    </w:p>
    <w:p>
      <w:r>
        <w:br w:type="page"/>
      </w:r>
    </w:p>
    <w:p>
      <w:pPr>
        <w:pStyle w:val="Heading1"/>
        <w:pBdr>
          <w:bottom w:val="single" w:color="0F3D3E" w:sz="8" w:space="4"/>
        </w:pBdr>
        <w:spacing w:after="200" w:before="480"/>
      </w:pPr>
      <w:r>
        <w:rPr>
          <w:b/>
          <w:bCs/>
          <w:color w:val="0F3D3E"/>
          <w:sz w:val="30"/>
          <w:szCs w:val="30"/>
        </w:rPr>
        <w:t xml:space="preserve">Priloga A — Demografski monokel DM-2050</w:t>
      </w:r>
    </w:p>
    <w:p>
      <w:pPr>
        <w:pBdr>
          <w:left w:val="single" w:color="8C6D31" w:sz="16" w:space="8"/>
        </w:pBdr>
        <w:spacing w:after="200" w:before="100"/>
        <w:ind w:left="400"/>
      </w:pPr>
      <w:r>
        <w:rPr>
          <w:i/>
          <w:iCs/>
          <w:color w:val="0F3D3E"/>
          <w:sz w:val="21"/>
          <w:szCs w:val="21"/>
        </w:rPr>
        <w:t xml:space="preserve">Pred vsako večjo javno, gospodarsko, prostorsko ali infrastrukturno odločitvijo vprašaj: kako bo ta odločitev vplivala na ljudi, ki bodo tukaj živeli leta 2035, 2050 in 2070?</w:t>
      </w:r>
    </w:p>
    <w:p>
      <w:pPr>
        <w:spacing w:after="140" w:line="288"/>
      </w:pPr>
      <w:r>
        <w:rPr>
          <w:sz w:val="21"/>
          <w:szCs w:val="21"/>
        </w:rPr>
        <w:t xml:space="preserve">Demografski monokel je metoda, ne slogan: za vsak večji predlog v Slovenski Istri predlagamo oceno 1–5 na dvanajstih področjih. Namen ni matematična natančnost, temveč sistematičnost — da nobeno večje vprašanje (energija, voda, prostor, delovna sila) ni prezrto samo zato, ker ni bilo del prvotnega okvira odločitve.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color w:val="FFFFFF"/>
                <w:sz w:val="19"/>
                <w:szCs w:val="19"/>
              </w:rPr>
              <w:t xml:space="preserve">Področje</w:t>
            </w:r>
          </w:p>
        </w:tc>
        <w:tc>
          <w:tcPr>
            <w:tcW w:type="dxa" w:w="6400"/>
            <w:shd w:fill="0F3D3E" w:val="clear"/>
            <w:tcMar>
              <w:top w:type="dxa" w:w="60"/>
              <w:left w:type="dxa" w:w="100"/>
              <w:bottom w:type="dxa" w:w="60"/>
              <w:right w:type="dxa" w:w="100"/>
            </w:tcMar>
            <w:vAlign w:val="center"/>
          </w:tcPr>
          <w:p>
            <w:pPr>
              <w:jc w:val="left"/>
            </w:pPr>
            <w:r>
              <w:rPr>
                <w:b/>
                <w:bCs/>
                <w:color w:val="FFFFFF"/>
                <w:sz w:val="19"/>
                <w:szCs w:val="19"/>
              </w:rPr>
              <w:t xml:space="preserve">Vodilno vprašanje</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Prebivalstvo</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pomaga zadržati ali pridobiti prebivalstvo?</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Družine</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izboljšuje pogoje za družinsko življenje?</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Staranje</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je prilagojeno starejši populaciji?</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Delovna sila</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zmanjšuje potrebo po dodatnem delu?</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Produktivnost</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povečuje rezultat na zaposlenega?</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Energija</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zmanjšuje ranljivost?</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Hrana</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povečuje lokalno odpornost?</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Voda</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zmanjšuje vodno tveganje?</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Prostor</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je dolgoročno prilagojeno podnebju?</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Gospodarstvo</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ustvarja novo vrednost?</w:t>
            </w:r>
          </w:p>
        </w:tc>
      </w:tr>
      <w:tr>
        <w:tc>
          <w:tcPr>
            <w:tcW w:type="dxa" w:w="26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Regionalnost</w:t>
            </w:r>
          </w:p>
        </w:tc>
        <w:tc>
          <w:tcPr>
            <w:tcW w:type="dxa" w:w="6400"/>
            <w:shd w:fill="FFFFFF" w:val="clear"/>
            <w:tcMar>
              <w:top w:type="dxa" w:w="60"/>
              <w:left w:type="dxa" w:w="100"/>
              <w:bottom w:type="dxa" w:w="60"/>
              <w:right w:type="dxa" w:w="100"/>
            </w:tcMar>
            <w:vAlign w:val="center"/>
          </w:tcPr>
          <w:p>
            <w:pPr>
              <w:jc w:val="left"/>
            </w:pPr>
            <w:r>
              <w:rPr>
                <w:b w:val="false"/>
                <w:bCs w:val="false"/>
                <w:color w:val="000000"/>
                <w:sz w:val="19"/>
                <w:szCs w:val="19"/>
              </w:rPr>
              <w:t xml:space="preserve">Ali ima več smisla skupno kot občinsko?</w:t>
            </w:r>
          </w:p>
        </w:tc>
      </w:tr>
      <w:tr>
        <w:tc>
          <w:tcPr>
            <w:tcW w:type="dxa" w:w="26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2050</w:t>
            </w:r>
          </w:p>
        </w:tc>
        <w:tc>
          <w:tcPr>
            <w:tcW w:type="dxa" w:w="6400"/>
            <w:shd w:fill="EFF4F3" w:val="clear"/>
            <w:tcMar>
              <w:top w:type="dxa" w:w="60"/>
              <w:left w:type="dxa" w:w="100"/>
              <w:bottom w:type="dxa" w:w="60"/>
              <w:right w:type="dxa" w:w="100"/>
            </w:tcMar>
            <w:vAlign w:val="center"/>
          </w:tcPr>
          <w:p>
            <w:pPr>
              <w:jc w:val="left"/>
            </w:pPr>
            <w:r>
              <w:rPr>
                <w:b w:val="false"/>
                <w:bCs w:val="false"/>
                <w:color w:val="000000"/>
                <w:sz w:val="19"/>
                <w:szCs w:val="19"/>
              </w:rPr>
              <w:t xml:space="preserve">Ali bo odločitev smiselna tudi čez 25 let?</w:t>
            </w:r>
          </w:p>
        </w:tc>
      </w:tr>
    </w:tbl>
    <w:p>
      <w:pPr>
        <w:spacing w:after="140" w:line="288"/>
      </w:pPr>
      <w:r>
        <w:rPr>
          <w:sz w:val="21"/>
          <w:szCs w:val="21"/>
        </w:rPr>
        <w:t xml:space="preserve">Dodatnih deset vprašanj (izvirna različica IDP) uporablja bolj pogovorno formulacijo istega načela in je primerno za javne predstavitve in delavnice: starost, rodnost in družina, migracije, stanovanja, delo, staranje, dostopnost, medgeneracijski učinek, javnofinančni učinek, leto 2050. Obe različici (DM-2050 in izvirnih 10 vprašanj) obravnavamo kot isto orodje v dveh registrih — strokovnem in javnem.</w:t>
      </w:r>
    </w:p>
    <w:p>
      <w:pPr>
        <w:spacing w:after="120" w:line="288"/>
      </w:pPr>
      <w:r>
        <w:rPr>
          <w:b/>
          <w:bCs/>
          <w:color w:val="7A2E8A"/>
          <w:sz w:val="21"/>
          <w:szCs w:val="21"/>
        </w:rPr>
        <w:t xml:space="preserve">[PREDLOG] </w:t>
      </w:r>
      <w:r>
        <w:rPr>
          <w:sz w:val="21"/>
          <w:szCs w:val="21"/>
        </w:rPr>
        <w:t xml:space="preserve">IDP naj demografski monokel formalno uveljavi kot obvezno prilogo k vsakemu večjemu občinskemu ali regionalnemu investicijskemu predlogu, ki ga IDP javno komentira ali soustvarja — začenši s stanovanjskimi in energetskimi projekti iz poglavij 8 in 10.</w:t>
      </w:r>
    </w:p>
    <w:p>
      <w:r>
        <w:br w:type="page"/>
      </w:r>
    </w:p>
    <w:p>
      <w:pPr>
        <w:pStyle w:val="Heading1"/>
        <w:pBdr>
          <w:bottom w:val="single" w:color="0F3D3E" w:sz="8" w:space="4"/>
        </w:pBdr>
        <w:spacing w:after="200" w:before="480"/>
      </w:pPr>
      <w:r>
        <w:rPr>
          <w:b/>
          <w:bCs/>
          <w:color w:val="0F3D3E"/>
          <w:sz w:val="30"/>
          <w:szCs w:val="30"/>
        </w:rPr>
        <w:t xml:space="preserve">Priloga B — Viri</w:t>
      </w:r>
    </w:p>
    <w:p>
      <w:pPr>
        <w:pStyle w:val="Heading2"/>
        <w:spacing w:after="140" w:before="320"/>
      </w:pPr>
      <w:r>
        <w:rPr>
          <w:b/>
          <w:bCs/>
          <w:color w:val="146C74"/>
          <w:sz w:val="25"/>
          <w:szCs w:val="25"/>
        </w:rPr>
        <w:t xml:space="preserve">Slovenija — uradni viri</w:t>
      </w:r>
    </w:p>
    <w:p>
      <w:pPr>
        <w:pStyle w:val="ListParagraph"/>
        <w:numPr>
          <w:ilvl w:val="0"/>
          <w:numId w:val="1"/>
        </w:numPr>
        <w:spacing w:after="80" w:line="276"/>
      </w:pPr>
      <w:r>
        <w:rPr>
          <w:sz w:val="21"/>
          <w:szCs w:val="21"/>
        </w:rPr>
        <w:t xml:space="preserve">Statistični urad Republike Slovenije (SURS): stat.si — občinski podatki 2024, EUROPOP2025 (18. 6. 2026), SiStat podatkovna baza.</w:t>
      </w:r>
    </w:p>
    <w:p>
      <w:pPr>
        <w:pStyle w:val="ListParagraph"/>
        <w:numPr>
          <w:ilvl w:val="0"/>
          <w:numId w:val="1"/>
        </w:numPr>
        <w:spacing w:after="80" w:line="276"/>
      </w:pPr>
      <w:r>
        <w:rPr>
          <w:sz w:val="21"/>
          <w:szCs w:val="21"/>
        </w:rPr>
        <w:t xml:space="preserve">Nacionalni inštitut za javno zdravje (NIJZ): obcine.nijz.si — standardizirana umrljivost, zdravstveni statistični letopis.</w:t>
      </w:r>
    </w:p>
    <w:p>
      <w:pPr>
        <w:pStyle w:val="ListParagraph"/>
        <w:numPr>
          <w:ilvl w:val="0"/>
          <w:numId w:val="1"/>
        </w:numPr>
        <w:spacing w:after="80" w:line="276"/>
      </w:pPr>
      <w:r>
        <w:rPr>
          <w:sz w:val="21"/>
          <w:szCs w:val="21"/>
        </w:rPr>
        <w:t xml:space="preserve">Ministrstvo za naravne vire in prostor (MNVP): Celovita demografska analiza s projekcijami za podeželska in urbana območja (2025).</w:t>
      </w:r>
    </w:p>
    <w:p>
      <w:pPr>
        <w:pStyle w:val="ListParagraph"/>
        <w:numPr>
          <w:ilvl w:val="0"/>
          <w:numId w:val="1"/>
        </w:numPr>
        <w:spacing w:after="80" w:line="276"/>
      </w:pPr>
      <w:r>
        <w:rPr>
          <w:sz w:val="21"/>
          <w:szCs w:val="21"/>
        </w:rPr>
        <w:t xml:space="preserve">Ministrstvo za solidarno prihodnost / Direktorat za stanovanja: POSTAN, Ocena gibanja potreb po stanovanjih do leta 2043, končno poročilo (11. 6. 2025).</w:t>
      </w:r>
    </w:p>
    <w:p>
      <w:pPr>
        <w:pStyle w:val="ListParagraph"/>
        <w:numPr>
          <w:ilvl w:val="0"/>
          <w:numId w:val="1"/>
        </w:numPr>
        <w:spacing w:after="80" w:line="276"/>
      </w:pPr>
      <w:r>
        <w:rPr>
          <w:sz w:val="21"/>
          <w:szCs w:val="21"/>
        </w:rPr>
        <w:t xml:space="preserve">Ministrstvo za kohezijo in regionalni razvoj: Strategija regionalnega razvoja Slovenije za obdobje 2026–2050 (osnutek, oktober 2025).</w:t>
      </w:r>
    </w:p>
    <w:p>
      <w:pPr>
        <w:pStyle w:val="ListParagraph"/>
        <w:numPr>
          <w:ilvl w:val="0"/>
          <w:numId w:val="1"/>
        </w:numPr>
        <w:spacing w:after="80" w:line="276"/>
      </w:pPr>
      <w:r>
        <w:rPr>
          <w:sz w:val="21"/>
          <w:szCs w:val="21"/>
        </w:rPr>
        <w:t xml:space="preserve">Agencija RS za okolje (ARSO): Ocena podnebnih sprememb v Sloveniji do konca 21. stoletja (OPS21).</w:t>
      </w:r>
    </w:p>
    <w:p>
      <w:pPr>
        <w:pStyle w:val="ListParagraph"/>
        <w:numPr>
          <w:ilvl w:val="0"/>
          <w:numId w:val="1"/>
        </w:numPr>
        <w:spacing w:after="80" w:line="276"/>
      </w:pPr>
      <w:r>
        <w:rPr>
          <w:sz w:val="21"/>
          <w:szCs w:val="21"/>
        </w:rPr>
        <w:t xml:space="preserve">Rižanski vodovod Koper d.o.o.: rvk.si — stanje vodnih virov, cenik, sporočila za javnost (2025–2026).</w:t>
      </w:r>
    </w:p>
    <w:p>
      <w:pPr>
        <w:pStyle w:val="ListParagraph"/>
        <w:numPr>
          <w:ilvl w:val="0"/>
          <w:numId w:val="1"/>
        </w:numPr>
        <w:spacing w:after="80" w:line="276"/>
      </w:pPr>
      <w:r>
        <w:rPr>
          <w:sz w:val="21"/>
          <w:szCs w:val="21"/>
        </w:rPr>
        <w:t xml:space="preserve">Zavod RS za zaposlovanje (ZRSZ): Strokovna izhodišča za leto 2026 (november 2025).</w:t>
      </w:r>
    </w:p>
    <w:p>
      <w:pPr>
        <w:pStyle w:val="ListParagraph"/>
        <w:numPr>
          <w:ilvl w:val="0"/>
          <w:numId w:val="1"/>
        </w:numPr>
        <w:spacing w:after="80" w:line="276"/>
      </w:pPr>
      <w:r>
        <w:rPr>
          <w:sz w:val="21"/>
          <w:szCs w:val="21"/>
        </w:rPr>
        <w:t>Uradni list Republike Slovenije: Energetski zakon (EZ-2, 2024); Zakon o dolgotrajni oskrbi (ZDOsk-1, Uradni list RS 84/23, s spremembami) in novela (12. 6. 2025).</w:t>
      </w:r>
    </w:p>
    <w:p>
      <w:pPr>
        <w:pStyle w:val="ListParagraph"/>
        <w:numPr>
          <w:ilvl w:val="0"/>
          <w:numId w:val="1"/>
        </w:numPr>
        <w:spacing w:after="80" w:line="276"/>
      </w:pPr>
      <w:r>
        <w:rPr>
          <w:sz w:val="21"/>
          <w:szCs w:val="21"/>
        </w:rPr>
        <w:t xml:space="preserve">Regionalni razvojni center Koper: gradiva Regionalnega prostorskega plana Obalno-Kraške razvojne regije (2026), Regionalni razvojni program 2021–2027.</w:t>
      </w:r>
    </w:p>
    <w:p>
      <w:pPr>
        <w:pStyle w:val="ListParagraph"/>
        <w:numPr>
          <w:ilvl w:val="0"/>
          <w:numId w:val="1"/>
        </w:numPr>
        <w:spacing w:after="80" w:line="276"/>
      </w:pPr>
      <w:r>
        <w:rPr>
          <w:sz w:val="21"/>
          <w:szCs w:val="21"/>
        </w:rPr>
        <w:t xml:space="preserve">Mestna občina Koper, Občina Izola, Občina Piran, Občina Ankaran: javno dostopna gradiva o stanovanjski in družinski politiki (2007–2026).</w:t>
      </w:r>
    </w:p>
    <w:p>
      <w:pPr>
        <w:pStyle w:val="ListParagraph"/>
        <w:numPr>
          <w:ilvl w:val="0"/>
          <w:numId w:val="1"/>
        </w:numPr>
        <w:spacing w:after="80" w:line="276"/>
      </w:pPr>
      <w:r>
        <w:rPr>
          <w:sz w:val="21"/>
          <w:szCs w:val="21"/>
        </w:rPr>
        <w:t>Urbanistični inštitut Republike Slovenije (UIRS): Program dela za leto 2026.</w:t>
      </w:r>
    </w:p>
    <w:p>
      <w:pPr>
        <w:pStyle w:val="ListParagraph"/>
        <w:numPr>
          <w:ilvl w:val="0"/>
          <w:numId w:val="1"/>
        </w:numPr>
        <w:spacing w:after="80" w:line="276"/>
      </w:pPr>
      <w:r>
        <w:rPr>
          <w:sz w:val="21"/>
          <w:szCs w:val="21"/>
        </w:rPr>
        <w:t xml:space="preserve">Znanstveno-raziskovalno središče Koper (ZRS Koper): novica o razvojnih usmeritvah MOK do 2050 (junij 2026).</w:t>
      </w:r>
    </w:p>
    <w:p>
      <w:pPr>
        <w:pStyle w:val="Heading2"/>
        <w:spacing w:after="140" w:before="320"/>
      </w:pPr>
      <w:r>
        <w:rPr>
          <w:b/>
          <w:bCs/>
          <w:color w:val="146C74"/>
          <w:sz w:val="25"/>
          <w:szCs w:val="25"/>
        </w:rPr>
        <w:t xml:space="preserve">Evropa in mednarodno</w:t>
      </w:r>
    </w:p>
    <w:p>
      <w:pPr>
        <w:pStyle w:val="ListParagraph"/>
        <w:numPr>
          <w:ilvl w:val="0"/>
          <w:numId w:val="1"/>
        </w:numPr>
        <w:spacing w:after="80" w:line="276"/>
      </w:pPr>
      <w:r>
        <w:rPr>
          <w:sz w:val="21"/>
          <w:szCs w:val="21"/>
        </w:rPr>
        <w:t xml:space="preserve">Eurostat: Fertility statistics, EU fertility rate 2024 (objava marec 2026).</w:t>
      </w:r>
    </w:p>
    <w:p>
      <w:pPr>
        <w:pStyle w:val="ListParagraph"/>
        <w:numPr>
          <w:ilvl w:val="0"/>
          <w:numId w:val="1"/>
        </w:numPr>
        <w:spacing w:after="80" w:line="276"/>
      </w:pPr>
      <w:r>
        <w:rPr>
          <w:sz w:val="21"/>
          <w:szCs w:val="21"/>
        </w:rPr>
        <w:t xml:space="preserve">Evropska komisija: Silver Economy Study (Technopolis / Oxford Economics), Shaping Europe's Digital Future.</w:t>
      </w:r>
    </w:p>
    <w:p>
      <w:pPr>
        <w:pStyle w:val="ListParagraph"/>
        <w:numPr>
          <w:ilvl w:val="0"/>
          <w:numId w:val="1"/>
        </w:numPr>
        <w:spacing w:after="80" w:line="276"/>
      </w:pPr>
      <w:r>
        <w:rPr>
          <w:sz w:val="21"/>
          <w:szCs w:val="21"/>
        </w:rPr>
        <w:t xml:space="preserve">OECD: Employment Outlook 2025 — 'Navigating the golden years: Making the labour market work for older workers'; sporočilo za javnost o pokojninskih sistemih (november 2025).</w:t>
      </w:r>
    </w:p>
    <w:p>
      <w:pPr>
        <w:pStyle w:val="ListParagraph"/>
        <w:numPr>
          <w:ilvl w:val="0"/>
          <w:numId w:val="1"/>
        </w:numPr>
        <w:spacing w:after="80" w:line="276"/>
      </w:pPr>
      <w:r>
        <w:rPr>
          <w:sz w:val="21"/>
          <w:szCs w:val="21"/>
        </w:rPr>
        <w:t>Mednarodni denarni sklad (MDS/IMF): World Economic Outlook, april 2025, poglavje 2 — 'The Rise of the Silver Economy: Global Implications of Population Aging' (primarni vir vsebinsko preverjen 27. avgusta 2026).</w:t>
      </w:r>
    </w:p>
    <w:p>
      <w:pPr>
        <w:pStyle w:val="ListParagraph"/>
        <w:numPr>
          <w:ilvl w:val="0"/>
          <w:numId w:val="1"/>
        </w:numPr>
        <w:spacing w:after="80" w:line="276"/>
      </w:pPr>
      <w:r>
        <w:rPr>
          <w:sz w:val="21"/>
          <w:szCs w:val="21"/>
        </w:rPr>
        <w:t xml:space="preserve">Državni zavod za statistiku (Hrvaška): popis prebivalstva 2021, Istarska županija — 195.237 prebivalcev.</w:t>
      </w:r>
    </w:p>
    <w:p>
      <w:pPr>
        <w:pStyle w:val="Heading2"/>
        <w:spacing w:after="140" w:before="320"/>
      </w:pPr>
      <w:r>
        <w:rPr>
          <w:b/>
          <w:bCs/>
          <w:color w:val="146C74"/>
          <w:sz w:val="25"/>
          <w:szCs w:val="25"/>
        </w:rPr>
        <w:t xml:space="preserve">IDP — notranji viri</w:t>
      </w:r>
    </w:p>
    <w:p>
      <w:pPr>
        <w:pStyle w:val="ListParagraph"/>
        <w:numPr>
          <w:ilvl w:val="0"/>
          <w:numId w:val="1"/>
        </w:numPr>
        <w:spacing w:after="80" w:line="276"/>
      </w:pPr>
      <w:r>
        <w:rPr>
          <w:sz w:val="21"/>
          <w:szCs w:val="21"/>
        </w:rPr>
        <w:t xml:space="preserve">Izhodišče raziskave IDP: Demografska prihodnost Slovenske Istre (21. 8. 2026) — primarna podlaga za to raziskavo.</w:t>
      </w:r>
    </w:p>
    <w:p>
      <w:pPr>
        <w:pStyle w:val="ListParagraph"/>
        <w:numPr>
          <w:ilvl w:val="0"/>
          <w:numId w:val="1"/>
        </w:numPr>
        <w:spacing w:after="80" w:line="276"/>
      </w:pPr>
      <w:r>
        <w:rPr>
          <w:sz w:val="21"/>
          <w:szCs w:val="21"/>
        </w:rPr>
        <w:t xml:space="preserve">IDP, Odprta raziskovalna ideja: Demografski časovni stroj (2026).</w:t>
      </w:r>
    </w:p>
    <w:p>
      <w:pPr>
        <w:pStyle w:val="ListParagraph"/>
        <w:numPr>
          <w:ilvl w:val="0"/>
          <w:numId w:val="1"/>
        </w:numPr>
        <w:spacing w:after="80" w:line="276"/>
      </w:pPr>
      <w:r>
        <w:rPr>
          <w:sz w:val="21"/>
          <w:szCs w:val="21"/>
        </w:rPr>
        <w:t xml:space="preserve">IDP Strategija 2025–2035.</w:t>
      </w:r>
    </w:p>
    <w:p>
      <w:pPr>
        <w:pStyle w:val="ListParagraph"/>
        <w:numPr>
          <w:ilvl w:val="0"/>
          <w:numId w:val="1"/>
        </w:numPr>
        <w:spacing w:after="80" w:line="276"/>
      </w:pPr>
      <w:r>
        <w:rPr>
          <w:sz w:val="21"/>
          <w:szCs w:val="21"/>
        </w:rPr>
        <w:t xml:space="preserve">IDP Akademija, Teoretična podlaga (2026).</w:t>
      </w:r>
    </w:p>
    <w:p>
      <w:pPr>
        <w:pStyle w:val="ListParagraph"/>
        <w:numPr>
          <w:ilvl w:val="0"/>
          <w:numId w:val="1"/>
        </w:numPr>
        <w:spacing w:after="80" w:line="276"/>
      </w:pPr>
      <w:r>
        <w:rPr>
          <w:sz w:val="21"/>
          <w:szCs w:val="21"/>
        </w:rPr>
        <w:t xml:space="preserve">IDP, interni dokument 'Inštitut kot most in mlin srebrne ekonomije' (2026).</w:t>
      </w:r>
    </w:p>
    <w:p>
      <w:pPr>
        <w:spacing w:after="140" w:line="288"/>
      </w:pPr>
      <w:r>
        <w:rPr>
          <w:sz w:val="21"/>
          <w:szCs w:val="21"/>
        </w:rPr>
        <w:t xml:space="preserve"/>
      </w:r>
    </w:p>
    <w:p>
      <w:pPr>
        <w:spacing w:after="140" w:line="288"/>
      </w:pPr>
      <w:r>
        <w:rPr>
          <w:sz w:val="21"/>
          <w:szCs w:val="21"/>
        </w:rPr>
        <w:t xml:space="preserve">Opomba o metodologiji virov: kjer je bil podatek pridobljen prek povzetka novinarskega članka ali avtomatiziranega povzetka spletne strani, namesto neposrednega branja primarnega uradnega dokumenta, je to v besedilu označeno (npr. 'po poročanju', 'povzeto po'). Pred javno objavo tega dokumenta priporočamo, da IDP za najpomembnejše trditve (zlasti demografske podatke po občinah in podrobnosti zakona o dolgotrajni oskrbi) preveri neposredno v primarnem uradnem viru.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C8" w:sz="4" w:space="4"/>
      </w:pBdr>
      <w:tabs>
        <w:tab w:val="right" w:pos="9026"/>
      </w:tabs>
    </w:pPr>
    <w:r>
      <w:rPr>
        <w:color w:val="595959"/>
        <w:sz w:val="16"/>
        <w:szCs w:val="16"/>
      </w:rPr>
      <w:t xml:space="preserve">IDP · NEO ARK 2035</w:t>
    </w:r>
    <w:r>
      <w:rPr>
        <w:color w:val="595959"/>
        <w:sz w:val="16"/>
        <w:szCs w:val="16"/>
      </w:rPr>
      <w:t xml:space="preserve">	Demografski paradoks Slovenske Istre — Dokument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Žiga Sedevčič</dc:creator>
  <cp:lastModifiedBy>Inštitut za demografsko prihodnost Slovenije — inšpekcijski pregled</cp:lastModifiedBy>
  <cp:revision>1</cp:revision>
  <dcterms:created xsi:type="dcterms:W3CDTF">2026-08-22T10:54:46.289Z</dcterms:created>
  <dcterms:modified xsi:type="dcterms:W3CDTF">2026-08-22T10:54:46.289Z</dcterms:modified>
  <dc:title>Demografski paradoks Slovenske Istre - Dokument 1 (Raziskava)</dc:title>
  <dc:description>Neodvisni inšpekcijski pregled IDP, 27. avgust 2026</dc:description>
</cp:coreProperties>
</file>

<file path=docProps/custom.xml><?xml version="1.0" encoding="utf-8"?>
<Properties xmlns="http://schemas.openxmlformats.org/officeDocument/2006/custom-properties" xmlns:vt="http://schemas.openxmlformats.org/officeDocument/2006/docPropsVTypes"/>
</file>